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C6085" w14:textId="77777777" w:rsidR="004F62CF" w:rsidRDefault="004F62CF" w:rsidP="00817DB4">
      <w:pPr>
        <w:widowControl w:val="0"/>
        <w:jc w:val="both"/>
        <w:rPr>
          <w:sz w:val="24"/>
          <w:szCs w:val="24"/>
        </w:rPr>
      </w:pPr>
    </w:p>
    <w:p w14:paraId="5DA4E06C" w14:textId="77777777" w:rsidR="004F62CF" w:rsidRDefault="004F62CF" w:rsidP="00817DB4">
      <w:pPr>
        <w:widowControl w:val="0"/>
        <w:jc w:val="both"/>
        <w:rPr>
          <w:sz w:val="24"/>
          <w:szCs w:val="24"/>
        </w:rPr>
      </w:pPr>
    </w:p>
    <w:p w14:paraId="4F16B9F3" w14:textId="6C3F90DA" w:rsidR="000B3D80" w:rsidRPr="009B4D5C" w:rsidRDefault="00765228" w:rsidP="00817DB4">
      <w:pPr>
        <w:widowControl w:val="0"/>
        <w:jc w:val="both"/>
        <w:rPr>
          <w:sz w:val="24"/>
          <w:szCs w:val="24"/>
        </w:rPr>
      </w:pPr>
      <w:r w:rsidRPr="009B4D5C">
        <w:rPr>
          <w:sz w:val="24"/>
          <w:szCs w:val="24"/>
        </w:rPr>
        <w:t>1</w:t>
      </w:r>
      <w:r w:rsidR="00CA0A7D">
        <w:rPr>
          <w:sz w:val="24"/>
          <w:szCs w:val="24"/>
        </w:rPr>
        <w:t>8</w:t>
      </w:r>
      <w:r w:rsidRPr="009B4D5C">
        <w:rPr>
          <w:sz w:val="24"/>
          <w:szCs w:val="24"/>
        </w:rPr>
        <w:t xml:space="preserve"> de diciembre </w:t>
      </w:r>
      <w:r w:rsidR="00B32AF1" w:rsidRPr="009B4D5C">
        <w:rPr>
          <w:sz w:val="24"/>
          <w:szCs w:val="24"/>
        </w:rPr>
        <w:t>de</w:t>
      </w:r>
      <w:r w:rsidR="00423E7D" w:rsidRPr="009B4D5C">
        <w:rPr>
          <w:sz w:val="24"/>
          <w:szCs w:val="24"/>
        </w:rPr>
        <w:t>l</w:t>
      </w:r>
      <w:r w:rsidR="00B32AF1" w:rsidRPr="009B4D5C">
        <w:rPr>
          <w:sz w:val="24"/>
          <w:szCs w:val="24"/>
        </w:rPr>
        <w:t xml:space="preserve"> 202</w:t>
      </w:r>
      <w:r w:rsidR="00526CDD" w:rsidRPr="009B4D5C">
        <w:rPr>
          <w:sz w:val="24"/>
          <w:szCs w:val="24"/>
        </w:rPr>
        <w:t>3</w:t>
      </w:r>
    </w:p>
    <w:p w14:paraId="35E88FBF" w14:textId="23F7937F" w:rsidR="00D6438A" w:rsidRPr="009B4D5C" w:rsidRDefault="008608BA" w:rsidP="00817DB4">
      <w:pPr>
        <w:ind w:left="567" w:hanging="567"/>
        <w:jc w:val="both"/>
        <w:rPr>
          <w:sz w:val="24"/>
          <w:szCs w:val="24"/>
        </w:rPr>
      </w:pPr>
      <w:r w:rsidRPr="009B4D5C">
        <w:rPr>
          <w:sz w:val="24"/>
          <w:szCs w:val="24"/>
        </w:rPr>
        <w:t>CN</w:t>
      </w:r>
      <w:r w:rsidR="006D43F1" w:rsidRPr="009B4D5C">
        <w:rPr>
          <w:sz w:val="24"/>
          <w:szCs w:val="24"/>
        </w:rPr>
        <w:t>S-</w:t>
      </w:r>
      <w:r w:rsidR="002261E0" w:rsidRPr="009B4D5C">
        <w:rPr>
          <w:sz w:val="24"/>
          <w:szCs w:val="24"/>
        </w:rPr>
        <w:t>1</w:t>
      </w:r>
      <w:r w:rsidR="00790696" w:rsidRPr="009B4D5C">
        <w:rPr>
          <w:sz w:val="24"/>
          <w:szCs w:val="24"/>
        </w:rPr>
        <w:t>8</w:t>
      </w:r>
      <w:r w:rsidR="00765228" w:rsidRPr="009B4D5C">
        <w:rPr>
          <w:sz w:val="24"/>
          <w:szCs w:val="24"/>
        </w:rPr>
        <w:t>41</w:t>
      </w:r>
      <w:r w:rsidR="005C4B63" w:rsidRPr="009B4D5C">
        <w:rPr>
          <w:sz w:val="24"/>
          <w:szCs w:val="24"/>
        </w:rPr>
        <w:t>/</w:t>
      </w:r>
      <w:r w:rsidR="00765228" w:rsidRPr="009B4D5C">
        <w:rPr>
          <w:sz w:val="24"/>
          <w:szCs w:val="24"/>
        </w:rPr>
        <w:t>08</w:t>
      </w:r>
    </w:p>
    <w:p w14:paraId="35DF5E84" w14:textId="58046A81" w:rsidR="00D6438A" w:rsidRPr="009B4D5C" w:rsidRDefault="00765228" w:rsidP="00817DB4">
      <w:pPr>
        <w:jc w:val="both"/>
        <w:rPr>
          <w:b/>
          <w:i/>
          <w:sz w:val="24"/>
          <w:szCs w:val="24"/>
        </w:rPr>
      </w:pPr>
      <w:r w:rsidRPr="009B4D5C">
        <w:rPr>
          <w:sz w:val="24"/>
          <w:szCs w:val="24"/>
        </w:rPr>
        <w:t>CNS-1842/07</w:t>
      </w:r>
    </w:p>
    <w:p w14:paraId="68615BE5" w14:textId="77777777" w:rsidR="00B47DD0" w:rsidRDefault="00B47DD0" w:rsidP="00817DB4">
      <w:pPr>
        <w:widowControl w:val="0"/>
        <w:jc w:val="both"/>
        <w:rPr>
          <w:sz w:val="24"/>
          <w:szCs w:val="24"/>
        </w:rPr>
      </w:pPr>
    </w:p>
    <w:p w14:paraId="36180C3C" w14:textId="77777777" w:rsidR="009D147C" w:rsidRDefault="009D147C" w:rsidP="00817DB4">
      <w:pPr>
        <w:widowControl w:val="0"/>
        <w:jc w:val="both"/>
        <w:rPr>
          <w:sz w:val="24"/>
          <w:szCs w:val="24"/>
        </w:rPr>
      </w:pPr>
    </w:p>
    <w:p w14:paraId="5A466DB8" w14:textId="77777777" w:rsidR="009D147C" w:rsidRDefault="009D147C" w:rsidP="00817DB4">
      <w:pPr>
        <w:widowControl w:val="0"/>
        <w:jc w:val="both"/>
        <w:rPr>
          <w:sz w:val="24"/>
          <w:szCs w:val="24"/>
        </w:rPr>
      </w:pPr>
    </w:p>
    <w:p w14:paraId="2217A66C" w14:textId="539A1C8F" w:rsidR="00D6438A" w:rsidRPr="009B4D5C" w:rsidRDefault="004355D1" w:rsidP="00817DB4">
      <w:pPr>
        <w:widowControl w:val="0"/>
        <w:jc w:val="both"/>
        <w:rPr>
          <w:sz w:val="24"/>
          <w:szCs w:val="24"/>
        </w:rPr>
      </w:pPr>
      <w:r w:rsidRPr="009B4D5C">
        <w:rPr>
          <w:sz w:val="24"/>
          <w:szCs w:val="24"/>
        </w:rPr>
        <w:t>Señor</w:t>
      </w:r>
    </w:p>
    <w:p w14:paraId="005853A2" w14:textId="77777777" w:rsidR="00D6438A" w:rsidRPr="009B4D5C" w:rsidRDefault="00FC2839" w:rsidP="00817DB4">
      <w:pPr>
        <w:widowControl w:val="0"/>
        <w:jc w:val="both"/>
        <w:rPr>
          <w:b/>
          <w:i/>
          <w:sz w:val="24"/>
          <w:szCs w:val="24"/>
        </w:rPr>
      </w:pPr>
      <w:r w:rsidRPr="009B4D5C">
        <w:rPr>
          <w:sz w:val="24"/>
          <w:szCs w:val="24"/>
        </w:rPr>
        <w:t>Alberto Dent Zeledón</w:t>
      </w:r>
      <w:r w:rsidR="00D6438A" w:rsidRPr="009B4D5C">
        <w:rPr>
          <w:sz w:val="24"/>
          <w:szCs w:val="24"/>
        </w:rPr>
        <w:t xml:space="preserve">, </w:t>
      </w:r>
      <w:r w:rsidR="00D6438A" w:rsidRPr="009B4D5C">
        <w:rPr>
          <w:i/>
          <w:sz w:val="24"/>
          <w:szCs w:val="24"/>
        </w:rPr>
        <w:t>Presidente</w:t>
      </w:r>
    </w:p>
    <w:p w14:paraId="578D0B86" w14:textId="77777777" w:rsidR="00D6438A" w:rsidRPr="009B4D5C" w:rsidRDefault="00D6438A" w:rsidP="00817DB4">
      <w:pPr>
        <w:widowControl w:val="0"/>
        <w:jc w:val="both"/>
        <w:rPr>
          <w:b/>
          <w:i/>
          <w:sz w:val="24"/>
          <w:szCs w:val="24"/>
        </w:rPr>
      </w:pPr>
      <w:r w:rsidRPr="009B4D5C">
        <w:rPr>
          <w:b/>
          <w:i/>
          <w:sz w:val="24"/>
          <w:szCs w:val="24"/>
        </w:rPr>
        <w:t>C</w:t>
      </w:r>
      <w:r w:rsidR="00E421B7" w:rsidRPr="009B4D5C">
        <w:rPr>
          <w:b/>
          <w:i/>
          <w:sz w:val="24"/>
          <w:szCs w:val="24"/>
        </w:rPr>
        <w:t>onsejo Nacional de Supervisión del Sistema Financiero</w:t>
      </w:r>
    </w:p>
    <w:p w14:paraId="58FFEAD2" w14:textId="77777777" w:rsidR="00350DA3" w:rsidRPr="009B4D5C" w:rsidRDefault="00350DA3" w:rsidP="00817DB4">
      <w:pPr>
        <w:jc w:val="both"/>
        <w:rPr>
          <w:b/>
          <w:i/>
          <w:sz w:val="24"/>
          <w:szCs w:val="24"/>
        </w:rPr>
      </w:pPr>
    </w:p>
    <w:p w14:paraId="6CE06C07" w14:textId="77777777" w:rsidR="00423E7D" w:rsidRPr="009B4D5C" w:rsidRDefault="00423E7D" w:rsidP="00817DB4">
      <w:pPr>
        <w:jc w:val="both"/>
        <w:rPr>
          <w:b/>
          <w:i/>
          <w:sz w:val="24"/>
          <w:szCs w:val="24"/>
        </w:rPr>
      </w:pPr>
    </w:p>
    <w:p w14:paraId="789D3E67" w14:textId="77777777" w:rsidR="00D6438A" w:rsidRPr="009B4D5C" w:rsidRDefault="00D6438A" w:rsidP="00817DB4">
      <w:pPr>
        <w:widowControl w:val="0"/>
        <w:jc w:val="both"/>
        <w:rPr>
          <w:sz w:val="24"/>
          <w:szCs w:val="24"/>
        </w:rPr>
      </w:pPr>
      <w:r w:rsidRPr="009B4D5C">
        <w:rPr>
          <w:sz w:val="24"/>
          <w:szCs w:val="24"/>
        </w:rPr>
        <w:t>Estimado señor:</w:t>
      </w:r>
    </w:p>
    <w:p w14:paraId="436FEAFB" w14:textId="77777777" w:rsidR="00D6438A" w:rsidRPr="009B4D5C" w:rsidRDefault="00D6438A" w:rsidP="00817DB4">
      <w:pPr>
        <w:jc w:val="both"/>
        <w:rPr>
          <w:b/>
          <w:i/>
          <w:sz w:val="24"/>
          <w:szCs w:val="24"/>
        </w:rPr>
      </w:pPr>
    </w:p>
    <w:p w14:paraId="379678E0" w14:textId="30DBA2A4" w:rsidR="000B3D80" w:rsidRPr="00817DB4" w:rsidRDefault="000246D3" w:rsidP="00817DB4">
      <w:pPr>
        <w:widowControl w:val="0"/>
        <w:jc w:val="both"/>
        <w:rPr>
          <w:sz w:val="24"/>
          <w:szCs w:val="24"/>
        </w:rPr>
      </w:pPr>
      <w:r w:rsidRPr="009B4D5C">
        <w:rPr>
          <w:sz w:val="24"/>
          <w:szCs w:val="24"/>
        </w:rPr>
        <w:t>El Consejo Nacional de Supervisión del Sis</w:t>
      </w:r>
      <w:r w:rsidR="00542907" w:rsidRPr="009B4D5C">
        <w:rPr>
          <w:sz w:val="24"/>
          <w:szCs w:val="24"/>
        </w:rPr>
        <w:t>tema Financiero</w:t>
      </w:r>
      <w:r w:rsidR="004D6CBF" w:rsidRPr="009B4D5C">
        <w:rPr>
          <w:sz w:val="24"/>
          <w:szCs w:val="24"/>
        </w:rPr>
        <w:t>,</w:t>
      </w:r>
      <w:r w:rsidR="00542907" w:rsidRPr="009B4D5C">
        <w:rPr>
          <w:sz w:val="24"/>
          <w:szCs w:val="24"/>
        </w:rPr>
        <w:t xml:space="preserve"> en l</w:t>
      </w:r>
      <w:r w:rsidR="009B4D5C" w:rsidRPr="009B4D5C">
        <w:rPr>
          <w:sz w:val="24"/>
          <w:szCs w:val="24"/>
        </w:rPr>
        <w:t xml:space="preserve">os </w:t>
      </w:r>
      <w:r w:rsidR="00542907" w:rsidRPr="009B4D5C">
        <w:rPr>
          <w:sz w:val="24"/>
          <w:szCs w:val="24"/>
        </w:rPr>
        <w:t>artículo</w:t>
      </w:r>
      <w:r w:rsidR="00463947">
        <w:rPr>
          <w:sz w:val="24"/>
          <w:szCs w:val="24"/>
        </w:rPr>
        <w:t>s</w:t>
      </w:r>
      <w:r w:rsidR="006367DF" w:rsidRPr="009B4D5C">
        <w:rPr>
          <w:sz w:val="24"/>
          <w:szCs w:val="24"/>
        </w:rPr>
        <w:t xml:space="preserve"> </w:t>
      </w:r>
      <w:r w:rsidR="009B4D5C" w:rsidRPr="009B4D5C">
        <w:rPr>
          <w:sz w:val="24"/>
          <w:szCs w:val="24"/>
        </w:rPr>
        <w:t xml:space="preserve">8 y 7 </w:t>
      </w:r>
      <w:r w:rsidRPr="009B4D5C">
        <w:rPr>
          <w:sz w:val="24"/>
          <w:szCs w:val="24"/>
        </w:rPr>
        <w:t>de</w:t>
      </w:r>
      <w:r w:rsidR="009B4D5C" w:rsidRPr="009B4D5C">
        <w:rPr>
          <w:sz w:val="24"/>
          <w:szCs w:val="24"/>
        </w:rPr>
        <w:t xml:space="preserve"> </w:t>
      </w:r>
      <w:r w:rsidR="00542907" w:rsidRPr="009B4D5C">
        <w:rPr>
          <w:sz w:val="24"/>
          <w:szCs w:val="24"/>
        </w:rPr>
        <w:t>l</w:t>
      </w:r>
      <w:r w:rsidR="009B4D5C" w:rsidRPr="009B4D5C">
        <w:rPr>
          <w:sz w:val="24"/>
          <w:szCs w:val="24"/>
        </w:rPr>
        <w:t>as</w:t>
      </w:r>
      <w:r w:rsidR="00542907" w:rsidRPr="009B4D5C">
        <w:rPr>
          <w:sz w:val="24"/>
          <w:szCs w:val="24"/>
        </w:rPr>
        <w:t xml:space="preserve"> </w:t>
      </w:r>
      <w:r w:rsidR="00867718" w:rsidRPr="009B4D5C">
        <w:rPr>
          <w:sz w:val="24"/>
          <w:szCs w:val="24"/>
        </w:rPr>
        <w:t>acta</w:t>
      </w:r>
      <w:r w:rsidR="009B4D5C" w:rsidRPr="009B4D5C">
        <w:rPr>
          <w:sz w:val="24"/>
          <w:szCs w:val="24"/>
        </w:rPr>
        <w:t>s</w:t>
      </w:r>
      <w:r w:rsidR="00867718" w:rsidRPr="009B4D5C">
        <w:rPr>
          <w:sz w:val="24"/>
          <w:szCs w:val="24"/>
        </w:rPr>
        <w:t xml:space="preserve"> de la</w:t>
      </w:r>
      <w:r w:rsidR="009B4D5C" w:rsidRPr="009B4D5C">
        <w:rPr>
          <w:sz w:val="24"/>
          <w:szCs w:val="24"/>
        </w:rPr>
        <w:t>s</w:t>
      </w:r>
      <w:r w:rsidR="006367DF" w:rsidRPr="009B4D5C">
        <w:rPr>
          <w:sz w:val="24"/>
          <w:szCs w:val="24"/>
        </w:rPr>
        <w:t xml:space="preserve"> sesi</w:t>
      </w:r>
      <w:r w:rsidR="009B4D5C" w:rsidRPr="009B4D5C">
        <w:rPr>
          <w:sz w:val="24"/>
          <w:szCs w:val="24"/>
        </w:rPr>
        <w:t xml:space="preserve">ones </w:t>
      </w:r>
      <w:r w:rsidR="002261E0" w:rsidRPr="009B4D5C">
        <w:rPr>
          <w:sz w:val="24"/>
          <w:szCs w:val="24"/>
        </w:rPr>
        <w:t>1</w:t>
      </w:r>
      <w:r w:rsidR="00790696" w:rsidRPr="009B4D5C">
        <w:rPr>
          <w:sz w:val="24"/>
          <w:szCs w:val="24"/>
        </w:rPr>
        <w:t>8</w:t>
      </w:r>
      <w:r w:rsidR="009B4D5C" w:rsidRPr="009B4D5C">
        <w:rPr>
          <w:sz w:val="24"/>
          <w:szCs w:val="24"/>
        </w:rPr>
        <w:t>41</w:t>
      </w:r>
      <w:r w:rsidR="00B32AF1" w:rsidRPr="009B4D5C">
        <w:rPr>
          <w:sz w:val="24"/>
          <w:szCs w:val="24"/>
        </w:rPr>
        <w:t>-202</w:t>
      </w:r>
      <w:r w:rsidR="00526CDD" w:rsidRPr="009B4D5C">
        <w:rPr>
          <w:sz w:val="24"/>
          <w:szCs w:val="24"/>
        </w:rPr>
        <w:t>3</w:t>
      </w:r>
      <w:r w:rsidR="009B4D5C" w:rsidRPr="009B4D5C">
        <w:rPr>
          <w:sz w:val="24"/>
          <w:szCs w:val="24"/>
        </w:rPr>
        <w:t xml:space="preserve"> y 1842-2023</w:t>
      </w:r>
      <w:r w:rsidR="00A7467E" w:rsidRPr="009B4D5C">
        <w:rPr>
          <w:sz w:val="24"/>
          <w:szCs w:val="24"/>
        </w:rPr>
        <w:t>,</w:t>
      </w:r>
      <w:r w:rsidR="006367DF" w:rsidRPr="009B4D5C">
        <w:rPr>
          <w:sz w:val="24"/>
          <w:szCs w:val="24"/>
        </w:rPr>
        <w:t xml:space="preserve"> </w:t>
      </w:r>
      <w:r w:rsidR="00CB07B4" w:rsidRPr="009B4D5C">
        <w:rPr>
          <w:sz w:val="24"/>
          <w:szCs w:val="24"/>
        </w:rPr>
        <w:t>celebrada</w:t>
      </w:r>
      <w:r w:rsidR="009B4D5C" w:rsidRPr="009B4D5C">
        <w:rPr>
          <w:sz w:val="24"/>
          <w:szCs w:val="24"/>
        </w:rPr>
        <w:t>s</w:t>
      </w:r>
      <w:r w:rsidR="00CB07B4" w:rsidRPr="009B4D5C">
        <w:rPr>
          <w:sz w:val="24"/>
          <w:szCs w:val="24"/>
        </w:rPr>
        <w:t xml:space="preserve"> el </w:t>
      </w:r>
      <w:r w:rsidR="009B4D5C" w:rsidRPr="009B4D5C">
        <w:rPr>
          <w:sz w:val="24"/>
          <w:szCs w:val="24"/>
        </w:rPr>
        <w:t xml:space="preserve">13 de diciembre </w:t>
      </w:r>
      <w:r w:rsidR="00B32AF1" w:rsidRPr="009B4D5C">
        <w:rPr>
          <w:sz w:val="24"/>
          <w:szCs w:val="24"/>
        </w:rPr>
        <w:t>de</w:t>
      </w:r>
      <w:r w:rsidR="00423E7D" w:rsidRPr="009B4D5C">
        <w:rPr>
          <w:sz w:val="24"/>
          <w:szCs w:val="24"/>
        </w:rPr>
        <w:t>l</w:t>
      </w:r>
      <w:r w:rsidR="00B32AF1" w:rsidRPr="009B4D5C">
        <w:rPr>
          <w:sz w:val="24"/>
          <w:szCs w:val="24"/>
        </w:rPr>
        <w:t xml:space="preserve"> 202</w:t>
      </w:r>
      <w:r w:rsidR="00526CDD" w:rsidRPr="009B4D5C">
        <w:rPr>
          <w:sz w:val="24"/>
          <w:szCs w:val="24"/>
        </w:rPr>
        <w:t>3</w:t>
      </w:r>
      <w:r w:rsidR="004D6CBF" w:rsidRPr="009B4D5C">
        <w:rPr>
          <w:sz w:val="24"/>
          <w:szCs w:val="24"/>
        </w:rPr>
        <w:t>,</w:t>
      </w:r>
    </w:p>
    <w:p w14:paraId="0F9721BA" w14:textId="77777777" w:rsidR="00817DB4" w:rsidRPr="009B4D5C" w:rsidRDefault="00817DB4" w:rsidP="00817DB4">
      <w:pPr>
        <w:jc w:val="both"/>
        <w:rPr>
          <w:sz w:val="22"/>
          <w:szCs w:val="22"/>
        </w:rPr>
      </w:pPr>
    </w:p>
    <w:p w14:paraId="33F58A6D" w14:textId="77777777" w:rsidR="00817DB4" w:rsidRPr="009B4D5C" w:rsidRDefault="00817DB4" w:rsidP="00817DB4">
      <w:pPr>
        <w:jc w:val="both"/>
        <w:rPr>
          <w:b/>
          <w:bCs/>
          <w:sz w:val="24"/>
          <w:szCs w:val="24"/>
        </w:rPr>
      </w:pPr>
      <w:r w:rsidRPr="009B4D5C">
        <w:rPr>
          <w:b/>
          <w:bCs/>
          <w:sz w:val="24"/>
          <w:szCs w:val="24"/>
        </w:rPr>
        <w:t xml:space="preserve">dispuso en firme: </w:t>
      </w:r>
    </w:p>
    <w:p w14:paraId="6DCC57BA" w14:textId="77777777" w:rsidR="00817DB4" w:rsidRPr="009B4D5C" w:rsidRDefault="00817DB4" w:rsidP="00817DB4">
      <w:pPr>
        <w:jc w:val="both"/>
        <w:rPr>
          <w:sz w:val="22"/>
          <w:szCs w:val="22"/>
        </w:rPr>
      </w:pPr>
    </w:p>
    <w:p w14:paraId="534E7C7F" w14:textId="5CCB9EA4" w:rsidR="00817DB4" w:rsidRPr="00817DB4" w:rsidRDefault="00817DB4" w:rsidP="00817DB4">
      <w:pPr>
        <w:jc w:val="both"/>
        <w:rPr>
          <w:sz w:val="24"/>
          <w:szCs w:val="24"/>
        </w:rPr>
      </w:pPr>
      <w:r w:rsidRPr="00817DB4">
        <w:rPr>
          <w:sz w:val="24"/>
          <w:szCs w:val="24"/>
        </w:rPr>
        <w:t>en acatamiento del inciso 2 del artículo 361 de la Ley General de Administración Pública, remitir en consulta pública por un plazo de veinte días hábiles, contados a partir de su comunicación, a las entidades de seguros, operadoras de pensiones, puestos de bolsa, sociedades administradoras de fondos de inversión,  a la Cámara de Intermediarios Bursátiles y Afines, a la Asociación de Aseguradoras Privadas de Costa Rica, a la Cámara de Fondos de Inversión, a la Bolsa Nacional de Valores, Asociación de Operadoras de Pensiones,  las modificaciones al Acuerdo CONASSIF 17-23 “Reglamento sobre la metodología de identificación de entidades de importancia sistémica” que se indican a continuación.  Las observaciones y comentarios deben ser remitidos al correo electrónico sugese@sugese.fi.cr, asunto: CONSULTA EXTERNA REFORMA DEL ACUERDO CONASSIF 17-23.</w:t>
      </w:r>
    </w:p>
    <w:p w14:paraId="050AECC8" w14:textId="77777777" w:rsidR="00817DB4" w:rsidRPr="00817DB4" w:rsidRDefault="00817DB4" w:rsidP="00817DB4">
      <w:pPr>
        <w:jc w:val="center"/>
        <w:rPr>
          <w:sz w:val="24"/>
          <w:szCs w:val="24"/>
        </w:rPr>
      </w:pPr>
    </w:p>
    <w:p w14:paraId="0F2A6391" w14:textId="77777777" w:rsidR="00817DB4" w:rsidRPr="009B4D5C" w:rsidRDefault="00817DB4" w:rsidP="00817DB4">
      <w:pPr>
        <w:jc w:val="center"/>
        <w:rPr>
          <w:b/>
          <w:bCs/>
          <w:sz w:val="22"/>
          <w:szCs w:val="22"/>
        </w:rPr>
      </w:pPr>
      <w:r w:rsidRPr="009B4D5C">
        <w:rPr>
          <w:sz w:val="22"/>
          <w:szCs w:val="22"/>
        </w:rPr>
        <w:t>“</w:t>
      </w:r>
      <w:r w:rsidRPr="009B4D5C">
        <w:rPr>
          <w:b/>
          <w:bCs/>
          <w:sz w:val="22"/>
          <w:szCs w:val="22"/>
        </w:rPr>
        <w:t>PROYECTO DE ACUERDO</w:t>
      </w:r>
    </w:p>
    <w:p w14:paraId="683A59E9" w14:textId="77777777" w:rsidR="00817DB4" w:rsidRPr="009B4D5C" w:rsidRDefault="00817DB4" w:rsidP="00817DB4">
      <w:pPr>
        <w:jc w:val="center"/>
        <w:rPr>
          <w:b/>
          <w:bCs/>
          <w:i/>
          <w:iCs/>
          <w:sz w:val="22"/>
          <w:szCs w:val="22"/>
        </w:rPr>
      </w:pPr>
    </w:p>
    <w:p w14:paraId="21982E3E" w14:textId="77777777" w:rsidR="00817DB4" w:rsidRPr="009B4D5C" w:rsidRDefault="00817DB4" w:rsidP="00817DB4">
      <w:pPr>
        <w:jc w:val="center"/>
        <w:rPr>
          <w:b/>
          <w:bCs/>
          <w:sz w:val="22"/>
          <w:szCs w:val="22"/>
        </w:rPr>
      </w:pPr>
      <w:r w:rsidRPr="009B4D5C">
        <w:rPr>
          <w:b/>
          <w:bCs/>
          <w:sz w:val="22"/>
          <w:szCs w:val="22"/>
        </w:rPr>
        <w:t>Reforma del “Reglamento sobre la metodología de identificación de entidades de importancia sistémica”, Acuerdo Conassif 17-23 para ampliar el alcance de la norma a las entidades supervisadas por Supen, Sugeval y Sugese</w:t>
      </w:r>
    </w:p>
    <w:p w14:paraId="6632B7E5" w14:textId="77777777" w:rsidR="00817DB4" w:rsidRPr="009B4D5C" w:rsidRDefault="00817DB4" w:rsidP="00817DB4">
      <w:pPr>
        <w:jc w:val="center"/>
        <w:rPr>
          <w:b/>
          <w:bCs/>
          <w:i/>
          <w:iCs/>
          <w:sz w:val="22"/>
          <w:szCs w:val="22"/>
        </w:rPr>
      </w:pPr>
    </w:p>
    <w:p w14:paraId="42C5AEF2" w14:textId="77777777" w:rsidR="00817DB4" w:rsidRPr="009B4D5C" w:rsidRDefault="00817DB4" w:rsidP="00817DB4">
      <w:pPr>
        <w:jc w:val="both"/>
        <w:rPr>
          <w:bCs/>
          <w:sz w:val="22"/>
          <w:szCs w:val="22"/>
        </w:rPr>
      </w:pPr>
      <w:r w:rsidRPr="009B4D5C">
        <w:rPr>
          <w:bCs/>
          <w:sz w:val="22"/>
          <w:szCs w:val="22"/>
        </w:rPr>
        <w:t>El Consejo Nacional de Supervisión del Sistema Financiero,</w:t>
      </w:r>
    </w:p>
    <w:p w14:paraId="34D56330" w14:textId="77777777" w:rsidR="00817DB4" w:rsidRPr="009B4D5C" w:rsidRDefault="00817DB4" w:rsidP="00817DB4">
      <w:pPr>
        <w:jc w:val="both"/>
        <w:rPr>
          <w:b/>
          <w:sz w:val="22"/>
          <w:szCs w:val="22"/>
        </w:rPr>
      </w:pPr>
    </w:p>
    <w:p w14:paraId="794B0A24" w14:textId="77777777" w:rsidR="00817DB4" w:rsidRPr="009B4D5C" w:rsidRDefault="00817DB4" w:rsidP="00817DB4">
      <w:pPr>
        <w:jc w:val="both"/>
        <w:rPr>
          <w:sz w:val="22"/>
          <w:szCs w:val="22"/>
        </w:rPr>
      </w:pPr>
      <w:r w:rsidRPr="009B4D5C">
        <w:rPr>
          <w:b/>
          <w:sz w:val="22"/>
          <w:szCs w:val="22"/>
        </w:rPr>
        <w:t>considerando que:</w:t>
      </w:r>
    </w:p>
    <w:p w14:paraId="4ED101E3" w14:textId="77777777" w:rsidR="00817DB4" w:rsidRPr="009B4D5C" w:rsidRDefault="00817DB4" w:rsidP="00817DB4">
      <w:pPr>
        <w:jc w:val="both"/>
        <w:rPr>
          <w:sz w:val="22"/>
          <w:szCs w:val="22"/>
        </w:rPr>
      </w:pPr>
    </w:p>
    <w:p w14:paraId="43423037" w14:textId="77777777" w:rsidR="00817DB4" w:rsidRPr="009B4D5C" w:rsidRDefault="00817DB4" w:rsidP="00817DB4">
      <w:pPr>
        <w:jc w:val="both"/>
        <w:rPr>
          <w:b/>
          <w:bCs/>
          <w:sz w:val="22"/>
          <w:szCs w:val="22"/>
        </w:rPr>
      </w:pPr>
      <w:r w:rsidRPr="009B4D5C">
        <w:rPr>
          <w:b/>
          <w:bCs/>
          <w:sz w:val="22"/>
          <w:szCs w:val="22"/>
        </w:rPr>
        <w:t xml:space="preserve">Consideraciones de orden legal  </w:t>
      </w:r>
    </w:p>
    <w:p w14:paraId="5D408426" w14:textId="77777777" w:rsidR="00817DB4" w:rsidRPr="009B4D5C" w:rsidRDefault="00817DB4" w:rsidP="00817DB4">
      <w:pPr>
        <w:jc w:val="both"/>
        <w:rPr>
          <w:sz w:val="22"/>
          <w:szCs w:val="22"/>
        </w:rPr>
      </w:pPr>
    </w:p>
    <w:p w14:paraId="0F1A7B4D" w14:textId="77777777" w:rsidR="00817DB4" w:rsidRPr="009B4D5C" w:rsidRDefault="00817DB4" w:rsidP="00817DB4">
      <w:pPr>
        <w:ind w:left="709" w:hanging="709"/>
        <w:jc w:val="both"/>
        <w:rPr>
          <w:sz w:val="22"/>
          <w:szCs w:val="22"/>
        </w:rPr>
      </w:pPr>
      <w:r w:rsidRPr="009B4D5C">
        <w:rPr>
          <w:b/>
          <w:bCs/>
          <w:sz w:val="22"/>
          <w:szCs w:val="22"/>
        </w:rPr>
        <w:t>I.</w:t>
      </w:r>
      <w:r w:rsidRPr="009B4D5C">
        <w:rPr>
          <w:b/>
          <w:bCs/>
          <w:sz w:val="22"/>
          <w:szCs w:val="22"/>
        </w:rPr>
        <w:tab/>
      </w:r>
      <w:r w:rsidRPr="009B4D5C">
        <w:rPr>
          <w:sz w:val="22"/>
          <w:szCs w:val="22"/>
        </w:rPr>
        <w:t xml:space="preserve">El inciso b) del artículo 171 de la </w:t>
      </w:r>
      <w:r w:rsidRPr="009B4D5C">
        <w:rPr>
          <w:i/>
          <w:iCs/>
          <w:sz w:val="22"/>
          <w:szCs w:val="22"/>
        </w:rPr>
        <w:t>Ley Reguladora del Mercado de Valores</w:t>
      </w:r>
      <w:r w:rsidRPr="009B4D5C">
        <w:rPr>
          <w:sz w:val="22"/>
          <w:szCs w:val="22"/>
        </w:rPr>
        <w:t xml:space="preserve">, Ley 7732, así como el párrafo segundo de la </w:t>
      </w:r>
      <w:r w:rsidRPr="009B4D5C">
        <w:rPr>
          <w:i/>
          <w:iCs/>
          <w:sz w:val="22"/>
          <w:szCs w:val="22"/>
        </w:rPr>
        <w:t>Ley Reguladora del Mercado de Seguros</w:t>
      </w:r>
      <w:r w:rsidRPr="009B4D5C">
        <w:rPr>
          <w:sz w:val="22"/>
          <w:szCs w:val="22"/>
        </w:rPr>
        <w:t xml:space="preserve">, Ley 8653  establecen, como función del Consejo Nacional de Supervisión del Sistema Financiero (Conassif), aprobar las normas atinentes a la autorización, regulación, supervisión, fiscalización y vigilancia que, </w:t>
      </w:r>
      <w:r w:rsidRPr="009B4D5C">
        <w:rPr>
          <w:sz w:val="22"/>
          <w:szCs w:val="22"/>
        </w:rPr>
        <w:lastRenderedPageBreak/>
        <w:t>conforme a la ley, deben ejecutar la Superintendencia General de Entidades Financieras (Sugef), la Superintendencia General de Valores (Sugeval), la Superintendencia de Pensiones (Supen) y la Superintendencia General de Seguros (Sugese).</w:t>
      </w:r>
    </w:p>
    <w:p w14:paraId="05F8F61E" w14:textId="77777777" w:rsidR="00817DB4" w:rsidRPr="009B4D5C" w:rsidRDefault="00817DB4" w:rsidP="00817DB4">
      <w:pPr>
        <w:jc w:val="both"/>
        <w:rPr>
          <w:sz w:val="22"/>
          <w:szCs w:val="22"/>
        </w:rPr>
      </w:pPr>
    </w:p>
    <w:p w14:paraId="3B0698C4" w14:textId="77777777" w:rsidR="00817DB4" w:rsidRPr="009B4D5C" w:rsidRDefault="00817DB4" w:rsidP="00817DB4">
      <w:pPr>
        <w:ind w:left="709" w:hanging="709"/>
        <w:jc w:val="both"/>
        <w:rPr>
          <w:sz w:val="22"/>
          <w:szCs w:val="22"/>
        </w:rPr>
      </w:pPr>
      <w:r w:rsidRPr="009B4D5C">
        <w:rPr>
          <w:b/>
          <w:bCs/>
          <w:sz w:val="22"/>
          <w:szCs w:val="22"/>
        </w:rPr>
        <w:t>II.</w:t>
      </w:r>
      <w:r w:rsidRPr="009B4D5C">
        <w:rPr>
          <w:b/>
          <w:bCs/>
          <w:sz w:val="22"/>
          <w:szCs w:val="22"/>
        </w:rPr>
        <w:tab/>
      </w:r>
      <w:r w:rsidRPr="009B4D5C">
        <w:rPr>
          <w:sz w:val="22"/>
          <w:szCs w:val="22"/>
        </w:rPr>
        <w:t xml:space="preserve">El párrafo segundo del artículo 119 de la </w:t>
      </w:r>
      <w:r w:rsidRPr="009B4D5C">
        <w:rPr>
          <w:i/>
          <w:iCs/>
          <w:sz w:val="22"/>
          <w:szCs w:val="22"/>
        </w:rPr>
        <w:t>Ley Orgánica del Banco Central de Costa Rica</w:t>
      </w:r>
      <w:r w:rsidRPr="009B4D5C">
        <w:rPr>
          <w:sz w:val="22"/>
          <w:szCs w:val="22"/>
        </w:rPr>
        <w:t xml:space="preserve">, Ley 7558, establece que, en relación con la operación propia de las entidades fiscalizadas por la Sugef, se podrán dictar las normas generales que sean necesarias para el establecimiento de sanas prácticas bancarias, todo en salvaguarda del interés de la colectividad. Esta misma facultad deriva del inciso j) del artículo 8 de Ley 7732 en relación con las entidades reguladas por la Sugeval, del inciso f) del artículo 38 de la </w:t>
      </w:r>
      <w:r w:rsidRPr="009B4D5C">
        <w:rPr>
          <w:i/>
          <w:iCs/>
          <w:sz w:val="22"/>
          <w:szCs w:val="22"/>
        </w:rPr>
        <w:t>Ley del Régimen Privado de Pensiones</w:t>
      </w:r>
      <w:r w:rsidRPr="009B4D5C">
        <w:rPr>
          <w:sz w:val="22"/>
          <w:szCs w:val="22"/>
        </w:rPr>
        <w:t>, Ley 7523, en relación con las entidades reguladas por la Supen y de inciso j) del artículo 29 de la Ley 8653 en relación con las actividades e instituciones que supervisa la Sugese.</w:t>
      </w:r>
    </w:p>
    <w:p w14:paraId="071F7611" w14:textId="77777777" w:rsidR="00817DB4" w:rsidRPr="009B4D5C" w:rsidRDefault="00817DB4" w:rsidP="00817DB4">
      <w:pPr>
        <w:jc w:val="both"/>
        <w:rPr>
          <w:sz w:val="22"/>
          <w:szCs w:val="22"/>
        </w:rPr>
      </w:pPr>
    </w:p>
    <w:p w14:paraId="5D011C00" w14:textId="77777777" w:rsidR="00817DB4" w:rsidRPr="009B4D5C" w:rsidRDefault="00817DB4" w:rsidP="00817DB4">
      <w:pPr>
        <w:ind w:left="709" w:hanging="709"/>
        <w:jc w:val="both"/>
        <w:rPr>
          <w:sz w:val="22"/>
          <w:szCs w:val="22"/>
        </w:rPr>
      </w:pPr>
      <w:r w:rsidRPr="009B4D5C">
        <w:rPr>
          <w:b/>
          <w:bCs/>
          <w:sz w:val="22"/>
          <w:szCs w:val="22"/>
        </w:rPr>
        <w:t>III.</w:t>
      </w:r>
      <w:r w:rsidRPr="009B4D5C">
        <w:rPr>
          <w:b/>
          <w:bCs/>
          <w:sz w:val="22"/>
          <w:szCs w:val="22"/>
        </w:rPr>
        <w:tab/>
      </w:r>
      <w:r w:rsidRPr="009B4D5C">
        <w:rPr>
          <w:sz w:val="22"/>
          <w:szCs w:val="22"/>
        </w:rPr>
        <w:t xml:space="preserve">Corresponde a las Superintendencias, al tenor de lo dispuesto en los artículos:  8 inciso b, de la Ley 7732; 38 inciso a) de la </w:t>
      </w:r>
      <w:r w:rsidRPr="009B4D5C">
        <w:rPr>
          <w:i/>
          <w:iCs/>
          <w:sz w:val="22"/>
          <w:szCs w:val="22"/>
        </w:rPr>
        <w:t>Ley de Protección al Trabajador</w:t>
      </w:r>
      <w:r w:rsidRPr="009B4D5C">
        <w:rPr>
          <w:sz w:val="22"/>
          <w:szCs w:val="22"/>
        </w:rPr>
        <w:t>, Ley 7983 y 2 - inciso i) de la Ley 8653, someter a la consideración del Conassif, los proyectos reglamentarios que corresponda para el logro de los objetivos que persigue la legislación en materia de supervisión de los mercados de valores, pensiones y seguros, respectivamente.</w:t>
      </w:r>
    </w:p>
    <w:p w14:paraId="0E9C2430" w14:textId="77777777" w:rsidR="00817DB4" w:rsidRPr="009B4D5C" w:rsidRDefault="00817DB4" w:rsidP="00817DB4">
      <w:pPr>
        <w:jc w:val="both"/>
        <w:rPr>
          <w:sz w:val="22"/>
          <w:szCs w:val="22"/>
        </w:rPr>
      </w:pPr>
    </w:p>
    <w:p w14:paraId="17250667" w14:textId="77777777" w:rsidR="00817DB4" w:rsidRPr="009B4D5C" w:rsidRDefault="00817DB4" w:rsidP="00817DB4">
      <w:pPr>
        <w:jc w:val="both"/>
        <w:rPr>
          <w:b/>
          <w:bCs/>
          <w:sz w:val="22"/>
          <w:szCs w:val="22"/>
        </w:rPr>
      </w:pPr>
      <w:bookmarkStart w:id="0" w:name="_Toc128725000"/>
      <w:r w:rsidRPr="009B4D5C">
        <w:rPr>
          <w:b/>
          <w:bCs/>
          <w:sz w:val="22"/>
          <w:szCs w:val="22"/>
        </w:rPr>
        <w:t>Consideraciones de orden reglamentario</w:t>
      </w:r>
    </w:p>
    <w:p w14:paraId="02736368" w14:textId="77777777" w:rsidR="00817DB4" w:rsidRPr="009B4D5C" w:rsidRDefault="00817DB4" w:rsidP="00817DB4">
      <w:pPr>
        <w:jc w:val="both"/>
        <w:rPr>
          <w:sz w:val="22"/>
          <w:szCs w:val="22"/>
        </w:rPr>
      </w:pPr>
    </w:p>
    <w:bookmarkEnd w:id="0"/>
    <w:p w14:paraId="1FB932EC" w14:textId="77777777" w:rsidR="00817DB4" w:rsidRPr="009B4D5C" w:rsidRDefault="00817DB4" w:rsidP="00817DB4">
      <w:pPr>
        <w:ind w:left="709" w:hanging="709"/>
        <w:jc w:val="both"/>
        <w:rPr>
          <w:sz w:val="22"/>
          <w:szCs w:val="22"/>
        </w:rPr>
      </w:pPr>
      <w:r w:rsidRPr="009B4D5C">
        <w:rPr>
          <w:b/>
          <w:bCs/>
          <w:sz w:val="22"/>
          <w:szCs w:val="22"/>
        </w:rPr>
        <w:t>IV.</w:t>
      </w:r>
      <w:r w:rsidRPr="009B4D5C">
        <w:rPr>
          <w:b/>
          <w:bCs/>
          <w:sz w:val="22"/>
          <w:szCs w:val="22"/>
        </w:rPr>
        <w:tab/>
      </w:r>
      <w:r w:rsidRPr="009B4D5C">
        <w:rPr>
          <w:sz w:val="22"/>
          <w:szCs w:val="22"/>
        </w:rPr>
        <w:t xml:space="preserve">Mediante artículo 8 de la sesión 1785-2023 del 20 de febrero de 2023, el Conassif aprobó el </w:t>
      </w:r>
      <w:r w:rsidRPr="009B4D5C">
        <w:rPr>
          <w:i/>
          <w:iCs/>
          <w:sz w:val="22"/>
          <w:szCs w:val="22"/>
        </w:rPr>
        <w:t>Reglamento sobre la metodología de identificación de entidades de importancia sistémica</w:t>
      </w:r>
      <w:r w:rsidRPr="009B4D5C">
        <w:rPr>
          <w:sz w:val="22"/>
          <w:szCs w:val="22"/>
        </w:rPr>
        <w:t>, Acuerdo Conassif 17-23, vigente desde el 3 marzo de 2023, cuyo ámbito de aplicación alcanza, únicamente, a entidades supervisadas por la Sugef, según establece en el Artículo 2 -Alcance-.</w:t>
      </w:r>
    </w:p>
    <w:p w14:paraId="1EE34CAC" w14:textId="77777777" w:rsidR="00817DB4" w:rsidRPr="009B4D5C" w:rsidRDefault="00817DB4" w:rsidP="00817DB4">
      <w:pPr>
        <w:jc w:val="both"/>
        <w:rPr>
          <w:sz w:val="22"/>
          <w:szCs w:val="22"/>
        </w:rPr>
      </w:pPr>
    </w:p>
    <w:p w14:paraId="1101312A" w14:textId="77777777" w:rsidR="00817DB4" w:rsidRPr="009B4D5C" w:rsidRDefault="00817DB4" w:rsidP="00817DB4">
      <w:pPr>
        <w:ind w:left="709" w:hanging="709"/>
        <w:jc w:val="both"/>
        <w:rPr>
          <w:sz w:val="22"/>
          <w:szCs w:val="22"/>
        </w:rPr>
      </w:pPr>
      <w:r w:rsidRPr="009B4D5C">
        <w:rPr>
          <w:b/>
          <w:bCs/>
          <w:sz w:val="22"/>
          <w:szCs w:val="22"/>
        </w:rPr>
        <w:t>V.</w:t>
      </w:r>
      <w:r w:rsidRPr="009B4D5C">
        <w:rPr>
          <w:b/>
          <w:bCs/>
          <w:sz w:val="22"/>
          <w:szCs w:val="22"/>
        </w:rPr>
        <w:tab/>
      </w:r>
      <w:r w:rsidRPr="009B4D5C">
        <w:rPr>
          <w:sz w:val="22"/>
          <w:szCs w:val="22"/>
        </w:rPr>
        <w:t>El marco metodológico vigente para intermediarios financieros establece, para la identificación de entidades de importancia sistémica, como dimensiones: el tamaño, la interconexión, la complejidad y el grado de sustitución. A su vez, cada dimensión se compone de indicadores que tienen el mismo peso o ponderación.  Sin embargo, para algunos segmentos del sector financiero, la calificación de “</w:t>
      </w:r>
      <w:r w:rsidRPr="009B4D5C">
        <w:rPr>
          <w:i/>
          <w:iCs/>
          <w:sz w:val="22"/>
          <w:szCs w:val="22"/>
        </w:rPr>
        <w:t>entidad de importancia sistémica</w:t>
      </w:r>
      <w:r w:rsidRPr="009B4D5C">
        <w:rPr>
          <w:sz w:val="22"/>
          <w:szCs w:val="22"/>
        </w:rPr>
        <w:t>” requiere la valoración de otros elementos, tales como “</w:t>
      </w:r>
      <w:r w:rsidRPr="009B4D5C">
        <w:rPr>
          <w:i/>
          <w:iCs/>
          <w:sz w:val="22"/>
          <w:szCs w:val="22"/>
        </w:rPr>
        <w:t>incentivos</w:t>
      </w:r>
      <w:r w:rsidRPr="009B4D5C">
        <w:rPr>
          <w:sz w:val="22"/>
          <w:szCs w:val="22"/>
        </w:rPr>
        <w:t>” y “</w:t>
      </w:r>
      <w:r w:rsidRPr="009B4D5C">
        <w:rPr>
          <w:i/>
          <w:iCs/>
          <w:sz w:val="22"/>
          <w:szCs w:val="22"/>
        </w:rPr>
        <w:t>concentración</w:t>
      </w:r>
      <w:r w:rsidRPr="009B4D5C">
        <w:rPr>
          <w:sz w:val="22"/>
          <w:szCs w:val="22"/>
        </w:rPr>
        <w:t>”, y también, la definición de otros indicadores relevantes del sector para definir la metodología.</w:t>
      </w:r>
    </w:p>
    <w:p w14:paraId="75C7C117" w14:textId="77777777" w:rsidR="00817DB4" w:rsidRPr="009B4D5C" w:rsidRDefault="00817DB4" w:rsidP="00817DB4">
      <w:pPr>
        <w:jc w:val="both"/>
        <w:rPr>
          <w:sz w:val="22"/>
          <w:szCs w:val="22"/>
        </w:rPr>
      </w:pPr>
    </w:p>
    <w:p w14:paraId="0B478F56" w14:textId="77777777" w:rsidR="00817DB4" w:rsidRPr="009B4D5C" w:rsidRDefault="00817DB4" w:rsidP="00817DB4">
      <w:pPr>
        <w:ind w:left="709" w:hanging="709"/>
        <w:jc w:val="both"/>
        <w:rPr>
          <w:sz w:val="22"/>
          <w:szCs w:val="22"/>
        </w:rPr>
      </w:pPr>
      <w:r w:rsidRPr="009B4D5C">
        <w:rPr>
          <w:b/>
          <w:bCs/>
          <w:sz w:val="22"/>
          <w:szCs w:val="22"/>
        </w:rPr>
        <w:t>VI.</w:t>
      </w:r>
      <w:r w:rsidRPr="009B4D5C">
        <w:rPr>
          <w:b/>
          <w:bCs/>
          <w:sz w:val="22"/>
          <w:szCs w:val="22"/>
        </w:rPr>
        <w:tab/>
      </w:r>
      <w:r w:rsidRPr="009B4D5C">
        <w:rPr>
          <w:sz w:val="22"/>
          <w:szCs w:val="22"/>
        </w:rPr>
        <w:t xml:space="preserve">Según se señala en los considerandos del </w:t>
      </w:r>
      <w:r w:rsidRPr="009B4D5C">
        <w:rPr>
          <w:i/>
          <w:iCs/>
          <w:sz w:val="22"/>
          <w:szCs w:val="22"/>
        </w:rPr>
        <w:t>Reglamento sobre la metodología de identificación de entidades de importancia sistémica</w:t>
      </w:r>
      <w:r w:rsidRPr="009B4D5C">
        <w:rPr>
          <w:sz w:val="22"/>
          <w:szCs w:val="22"/>
        </w:rPr>
        <w:t xml:space="preserve">, aprobado por el Conassif en el artículo 8 de la sesión 1785-2023 del 20 de febrero de 2023, “conforme las otras superintendencias consideren pertinente, dadas las características de sus respectivos sectores supervisados, el desarrollo de metodologías para la identificación de entidades de importancia sistémica sujetas a su supervisión, podrán ser incorporadas dentro de este marco regulatorio. </w:t>
      </w:r>
    </w:p>
    <w:p w14:paraId="53529302" w14:textId="77777777" w:rsidR="00817DB4" w:rsidRPr="009B4D5C" w:rsidRDefault="00817DB4" w:rsidP="00817DB4">
      <w:pPr>
        <w:jc w:val="both"/>
        <w:rPr>
          <w:sz w:val="22"/>
          <w:szCs w:val="22"/>
        </w:rPr>
      </w:pPr>
    </w:p>
    <w:p w14:paraId="21DE997B" w14:textId="77777777" w:rsidR="00817DB4" w:rsidRPr="009B4D5C" w:rsidRDefault="00817DB4" w:rsidP="00817DB4">
      <w:pPr>
        <w:ind w:left="709" w:hanging="709"/>
        <w:jc w:val="both"/>
        <w:rPr>
          <w:sz w:val="22"/>
          <w:szCs w:val="22"/>
        </w:rPr>
      </w:pPr>
      <w:r w:rsidRPr="009B4D5C">
        <w:rPr>
          <w:b/>
          <w:bCs/>
          <w:sz w:val="22"/>
          <w:szCs w:val="22"/>
        </w:rPr>
        <w:t>VII.</w:t>
      </w:r>
      <w:r w:rsidRPr="009B4D5C">
        <w:rPr>
          <w:b/>
          <w:bCs/>
          <w:sz w:val="22"/>
          <w:szCs w:val="22"/>
        </w:rPr>
        <w:tab/>
      </w:r>
      <w:r w:rsidRPr="009B4D5C">
        <w:rPr>
          <w:sz w:val="22"/>
          <w:szCs w:val="22"/>
        </w:rPr>
        <w:t xml:space="preserve">El </w:t>
      </w:r>
      <w:r w:rsidRPr="009B4D5C">
        <w:rPr>
          <w:i/>
          <w:iCs/>
          <w:sz w:val="22"/>
          <w:szCs w:val="22"/>
        </w:rPr>
        <w:t>Reglamento sobre idoneidad y desempeño de los miembros del órgano de dirección y de la alta gerencia de entidades y empresas supervisadas</w:t>
      </w:r>
      <w:r w:rsidRPr="009B4D5C">
        <w:rPr>
          <w:sz w:val="22"/>
          <w:szCs w:val="22"/>
        </w:rPr>
        <w:t xml:space="preserve">, aprobado por el Conassif, mediante artículos 14 y 4 de las actas de las sesiones 1728-2022 y 1729-2022, celebradas el 2 de mayo del 2022, vigente desde el 1° de enero de 2023  y de aplicación obligatoria para el conjunto de entidades supervisadas por Sugef, Sugeval, Supen y Sugese,  establece requisitos diferenciados de idoneidad para los miembros del Órgano de Dirección de entidades calificadas de importancia sistémica, lo que  hace necesario, a efecto de proveer de seguridad jurídica a las </w:t>
      </w:r>
      <w:r w:rsidRPr="009B4D5C">
        <w:rPr>
          <w:sz w:val="22"/>
          <w:szCs w:val="22"/>
        </w:rPr>
        <w:lastRenderedPageBreak/>
        <w:t>entidades que se encuentran dentro de su ámbito de aplicación,  el establecimiento, con rango de norma, de metodologías para determinar la condición de entidad de importancia sistémica.</w:t>
      </w:r>
    </w:p>
    <w:p w14:paraId="73B2D0C8" w14:textId="77777777" w:rsidR="00817DB4" w:rsidRPr="009B4D5C" w:rsidRDefault="00817DB4" w:rsidP="00817DB4">
      <w:pPr>
        <w:jc w:val="both"/>
        <w:rPr>
          <w:sz w:val="22"/>
          <w:szCs w:val="22"/>
        </w:rPr>
      </w:pPr>
    </w:p>
    <w:p w14:paraId="2E008557" w14:textId="77777777" w:rsidR="00817DB4" w:rsidRPr="009B4D5C" w:rsidRDefault="00817DB4" w:rsidP="00817DB4">
      <w:pPr>
        <w:jc w:val="both"/>
        <w:rPr>
          <w:b/>
          <w:bCs/>
          <w:sz w:val="22"/>
          <w:szCs w:val="22"/>
        </w:rPr>
      </w:pPr>
      <w:bookmarkStart w:id="1" w:name="_Toc128725001"/>
      <w:r w:rsidRPr="009B4D5C">
        <w:rPr>
          <w:b/>
          <w:bCs/>
          <w:sz w:val="22"/>
          <w:szCs w:val="22"/>
        </w:rPr>
        <w:t>Consideraciones sobre las recomendaciones internacionales en torno a la identificación de entidades financieras de importancia sistémica</w:t>
      </w:r>
    </w:p>
    <w:p w14:paraId="650817AC" w14:textId="77777777" w:rsidR="00817DB4" w:rsidRPr="009B4D5C" w:rsidRDefault="00817DB4" w:rsidP="00817DB4">
      <w:pPr>
        <w:jc w:val="both"/>
        <w:rPr>
          <w:sz w:val="22"/>
          <w:szCs w:val="22"/>
        </w:rPr>
      </w:pPr>
    </w:p>
    <w:bookmarkEnd w:id="1"/>
    <w:p w14:paraId="0280FCC0" w14:textId="77777777" w:rsidR="00817DB4" w:rsidRPr="009B4D5C" w:rsidRDefault="00817DB4" w:rsidP="00817DB4">
      <w:pPr>
        <w:ind w:left="709" w:hanging="709"/>
        <w:jc w:val="both"/>
        <w:rPr>
          <w:sz w:val="22"/>
          <w:szCs w:val="22"/>
        </w:rPr>
      </w:pPr>
      <w:r w:rsidRPr="009B4D5C">
        <w:rPr>
          <w:b/>
          <w:bCs/>
          <w:sz w:val="22"/>
          <w:szCs w:val="22"/>
        </w:rPr>
        <w:t>VIII.</w:t>
      </w:r>
      <w:r w:rsidRPr="009B4D5C">
        <w:rPr>
          <w:b/>
          <w:bCs/>
          <w:sz w:val="22"/>
          <w:szCs w:val="22"/>
        </w:rPr>
        <w:tab/>
      </w:r>
      <w:r w:rsidRPr="009B4D5C">
        <w:rPr>
          <w:sz w:val="22"/>
          <w:szCs w:val="22"/>
        </w:rPr>
        <w:t>Durante la crisis financiera iniciada en 2007, las repercusiones de la quiebra o deterioro patrimonial de varias instituciones financieras globales y de gran tamaño alcanzaron a todo el sistema financiero, lo que perjudicó a su vez a la actividad económica real. Los supervisores y otras autoridades relevantes contaban con limitadas opciones para evitar que problemas de entidades individuales se propagaran y ello llevó a socavar la estabilidad financiera. Como consecuencia, la intervención</w:t>
      </w:r>
      <w:r w:rsidRPr="009B4D5C" w:rsidDel="00CE4B5B">
        <w:rPr>
          <w:sz w:val="22"/>
          <w:szCs w:val="22"/>
        </w:rPr>
        <w:t xml:space="preserve"> </w:t>
      </w:r>
      <w:r w:rsidRPr="009B4D5C">
        <w:rPr>
          <w:sz w:val="22"/>
          <w:szCs w:val="22"/>
        </w:rPr>
        <w:t>del sector público fue necesaria para restablecer la estabilidad financiera. Dados los costos financieros y económicos asociados a estas intervenciones, así como el consiguiente aumento del riesgo moral, fue preciso aplicar medidas adicionales encaminadas a reducir la probabilidad y gravedad de los problemas que nacen de la quiebra de instituciones financieras cuya importancia sistémica repercute en la estabilidad financiera de los mercados y de la economía real.  Por ello las diferentes asociaciones internacionales de supervisores financieros emitieron diversas recomendaciones para determinar lo que se debía entender como entidad sistémica en sus mercados</w:t>
      </w:r>
    </w:p>
    <w:p w14:paraId="296D0E5E" w14:textId="77777777" w:rsidR="00817DB4" w:rsidRPr="009B4D5C" w:rsidRDefault="00817DB4" w:rsidP="00817DB4">
      <w:pPr>
        <w:jc w:val="both"/>
        <w:rPr>
          <w:sz w:val="22"/>
          <w:szCs w:val="22"/>
        </w:rPr>
      </w:pPr>
      <w:r w:rsidRPr="009B4D5C">
        <w:rPr>
          <w:sz w:val="22"/>
          <w:szCs w:val="22"/>
        </w:rPr>
        <w:t xml:space="preserve"> </w:t>
      </w:r>
    </w:p>
    <w:p w14:paraId="57CD03F7" w14:textId="77777777" w:rsidR="00817DB4" w:rsidRPr="009B4D5C" w:rsidRDefault="00817DB4" w:rsidP="00817DB4">
      <w:pPr>
        <w:ind w:left="709" w:hanging="709"/>
        <w:jc w:val="both"/>
        <w:rPr>
          <w:sz w:val="22"/>
          <w:szCs w:val="22"/>
        </w:rPr>
      </w:pPr>
      <w:r w:rsidRPr="009B4D5C">
        <w:rPr>
          <w:b/>
          <w:bCs/>
          <w:sz w:val="22"/>
          <w:szCs w:val="22"/>
        </w:rPr>
        <w:t>IX.</w:t>
      </w:r>
      <w:r w:rsidRPr="009B4D5C">
        <w:rPr>
          <w:b/>
          <w:bCs/>
          <w:sz w:val="22"/>
          <w:szCs w:val="22"/>
        </w:rPr>
        <w:tab/>
      </w:r>
      <w:r w:rsidRPr="009B4D5C">
        <w:rPr>
          <w:sz w:val="22"/>
          <w:szCs w:val="22"/>
        </w:rPr>
        <w:t>El Fondo Monetario Internacional, el Banco Internacional de Pagos y la Junta de Estabilidad Financiera (FSB por sus siglas en inglés) han definido el “</w:t>
      </w:r>
      <w:r w:rsidRPr="009B4D5C">
        <w:rPr>
          <w:i/>
          <w:iCs/>
          <w:sz w:val="22"/>
          <w:szCs w:val="22"/>
        </w:rPr>
        <w:t>riesgo sistémico</w:t>
      </w:r>
      <w:r w:rsidRPr="009B4D5C">
        <w:rPr>
          <w:sz w:val="22"/>
          <w:szCs w:val="22"/>
        </w:rPr>
        <w:t>” como el “</w:t>
      </w:r>
      <w:r w:rsidRPr="009B4D5C">
        <w:rPr>
          <w:i/>
          <w:iCs/>
          <w:sz w:val="22"/>
          <w:szCs w:val="22"/>
        </w:rPr>
        <w:t>riesgo de interrupción de los servicios financieros que (i) es causado por un deterioro de todo o parte del sistema financiero y (ii) tiene el potencial de tener graves consecuencias negativas para la economía real.</w:t>
      </w:r>
      <w:r w:rsidRPr="009B4D5C">
        <w:rPr>
          <w:sz w:val="22"/>
          <w:szCs w:val="22"/>
        </w:rPr>
        <w:t>”; además  se ha señalado que su origen puede estar en  “</w:t>
      </w:r>
      <w:r w:rsidRPr="009B4D5C">
        <w:rPr>
          <w:i/>
          <w:iCs/>
          <w:sz w:val="22"/>
          <w:szCs w:val="22"/>
        </w:rPr>
        <w:t>razones asociadas al entorno macroeconómico, por ejemplo: riesgos de naturaleza temporal relacionados a la trayectoria del ciclo financiero o económico, y por razones asociadas a causas estructurales del sistema financiero, principalmente, son causas de naturaleza transversal, por ejemplo: el alto grado de interconexión de algunos participantes del mercado y el tamaño que puedan alcanzar algunas instituciones del sistema financiero.</w:t>
      </w:r>
      <w:r w:rsidRPr="009B4D5C">
        <w:rPr>
          <w:sz w:val="22"/>
          <w:szCs w:val="22"/>
        </w:rPr>
        <w:t>”</w:t>
      </w:r>
    </w:p>
    <w:p w14:paraId="6F1E0713" w14:textId="77777777" w:rsidR="00817DB4" w:rsidRPr="009B4D5C" w:rsidRDefault="00817DB4" w:rsidP="00817DB4">
      <w:pPr>
        <w:jc w:val="both"/>
        <w:rPr>
          <w:sz w:val="22"/>
          <w:szCs w:val="22"/>
        </w:rPr>
      </w:pPr>
    </w:p>
    <w:p w14:paraId="6E0256C4" w14:textId="77777777" w:rsidR="00817DB4" w:rsidRPr="009B4D5C" w:rsidRDefault="00817DB4" w:rsidP="00817DB4">
      <w:pPr>
        <w:ind w:left="709" w:hanging="709"/>
        <w:jc w:val="both"/>
        <w:rPr>
          <w:sz w:val="22"/>
          <w:szCs w:val="22"/>
        </w:rPr>
      </w:pPr>
      <w:r w:rsidRPr="009B4D5C">
        <w:rPr>
          <w:b/>
          <w:bCs/>
          <w:sz w:val="22"/>
          <w:szCs w:val="22"/>
        </w:rPr>
        <w:t>X.</w:t>
      </w:r>
      <w:r w:rsidRPr="009B4D5C">
        <w:rPr>
          <w:b/>
          <w:bCs/>
          <w:sz w:val="22"/>
          <w:szCs w:val="22"/>
        </w:rPr>
        <w:tab/>
      </w:r>
      <w:r w:rsidRPr="009B4D5C">
        <w:rPr>
          <w:sz w:val="22"/>
          <w:szCs w:val="22"/>
        </w:rPr>
        <w:t>En 2013, la Asociación Internacional de Supervisores de Seguros (IAIS por sus siglas en inglés) adoptó una metodología para la identificación de aseguradoras de importancia sistémica global (G-SII) y medidas de política para aplicar a estas instituciones. Desde entonces se ha reconocido que el riesgo sistémico en el sistema financiero puede surgir no solo de entidades individuales, sino también de exposiciones colectivas de un sector. La IAIS ha propuesto una metodología que incluye para la determinación de entidades de este tipo cinco dimensiones: Tamaño, Interconexión, Grado de Sustitución, Actividad Internacional y Actividad no Aseguradora, para las cuales se proponen indicadores con la misma ponderación.  En 2020, la IAIS eliminó la definición de G-SII, pero mantuvo la metodología de valoración de las entidades sistémicas y adoptó el “</w:t>
      </w:r>
      <w:r w:rsidRPr="009B4D5C">
        <w:rPr>
          <w:i/>
          <w:iCs/>
          <w:sz w:val="22"/>
          <w:szCs w:val="22"/>
        </w:rPr>
        <w:t>Marco Holístico para Riesgo Sistémico en el Sector Asegurador</w:t>
      </w:r>
      <w:r w:rsidRPr="009B4D5C">
        <w:rPr>
          <w:sz w:val="22"/>
          <w:szCs w:val="22"/>
        </w:rPr>
        <w:t>”, que reúne un conjunto de elementos dirigidos a evaluar y mitigar el potencial riesgo sistémico tanto de aseguradoras individuales como del sector como un todo. Estos elementos también están presentes en los Principios Básicos de Seguros (</w:t>
      </w:r>
      <w:proofErr w:type="spellStart"/>
      <w:r w:rsidRPr="009B4D5C">
        <w:rPr>
          <w:sz w:val="22"/>
          <w:szCs w:val="22"/>
        </w:rPr>
        <w:t>ICPs</w:t>
      </w:r>
      <w:proofErr w:type="spellEnd"/>
      <w:r w:rsidRPr="009B4D5C">
        <w:rPr>
          <w:sz w:val="22"/>
          <w:szCs w:val="22"/>
        </w:rPr>
        <w:t xml:space="preserve"> por sus siglas en inglés) y el Marco Común para la Supervisión de los Grupos de Entidades de Seguros con Actividad Internacional (</w:t>
      </w:r>
      <w:proofErr w:type="spellStart"/>
      <w:r w:rsidRPr="009B4D5C">
        <w:rPr>
          <w:sz w:val="22"/>
          <w:szCs w:val="22"/>
        </w:rPr>
        <w:t>ComFrame</w:t>
      </w:r>
      <w:proofErr w:type="spellEnd"/>
      <w:r w:rsidRPr="009B4D5C">
        <w:rPr>
          <w:sz w:val="22"/>
          <w:szCs w:val="22"/>
        </w:rPr>
        <w:t>).</w:t>
      </w:r>
    </w:p>
    <w:p w14:paraId="6AC78893" w14:textId="77777777" w:rsidR="00817DB4" w:rsidRPr="009B4D5C" w:rsidRDefault="00817DB4" w:rsidP="00817DB4">
      <w:pPr>
        <w:jc w:val="both"/>
        <w:rPr>
          <w:sz w:val="22"/>
          <w:szCs w:val="22"/>
        </w:rPr>
      </w:pPr>
    </w:p>
    <w:p w14:paraId="03CF547C" w14:textId="77777777" w:rsidR="00817DB4" w:rsidRPr="009B4D5C" w:rsidRDefault="00817DB4" w:rsidP="00817DB4">
      <w:pPr>
        <w:ind w:left="709" w:hanging="709"/>
        <w:jc w:val="both"/>
        <w:rPr>
          <w:sz w:val="22"/>
          <w:szCs w:val="22"/>
        </w:rPr>
      </w:pPr>
      <w:r w:rsidRPr="009B4D5C">
        <w:rPr>
          <w:b/>
          <w:bCs/>
          <w:sz w:val="22"/>
          <w:szCs w:val="22"/>
        </w:rPr>
        <w:t>XI.</w:t>
      </w:r>
      <w:r w:rsidRPr="009B4D5C">
        <w:rPr>
          <w:b/>
          <w:bCs/>
          <w:sz w:val="22"/>
          <w:szCs w:val="22"/>
        </w:rPr>
        <w:tab/>
      </w:r>
      <w:r w:rsidRPr="009B4D5C">
        <w:rPr>
          <w:sz w:val="22"/>
          <w:szCs w:val="22"/>
        </w:rPr>
        <w:t xml:space="preserve">De acuerdo con lo indicado por la Organización Internacional de Comisiones de Valores (IOSCO por sus siglas en inglés) las metodologías para identificar las entidades de importancia </w:t>
      </w:r>
      <w:r w:rsidRPr="009B4D5C">
        <w:rPr>
          <w:sz w:val="22"/>
          <w:szCs w:val="22"/>
        </w:rPr>
        <w:lastRenderedPageBreak/>
        <w:t xml:space="preserve">sistémica deben ser aplicadas a una amplia gama de entidades financieras que, a menudo, tienen formas jurídicas, modelos de negocio y perfiles de riesgo diferentes.  Asimismo, señala que las metodologías deben permitir suficiente flexibilidad para capturar adecuadamente los diferentes riesgos o externalidades en las entidades de cada sector y, al mismo tiempo, preservar la coherencia en todo el espacio financiero. El </w:t>
      </w:r>
      <w:r w:rsidRPr="009B4D5C">
        <w:rPr>
          <w:i/>
          <w:iCs/>
          <w:sz w:val="22"/>
          <w:szCs w:val="22"/>
        </w:rPr>
        <w:t>FSB</w:t>
      </w:r>
      <w:r w:rsidRPr="009B4D5C">
        <w:rPr>
          <w:sz w:val="22"/>
          <w:szCs w:val="22"/>
        </w:rPr>
        <w:t xml:space="preserve"> intenta superar este desafío mediante indicadores detallados por sector, e introduce un conjunto básico de indicadores que se han utilizado como referencia para el desarrollo de un modelo de identificación de entidades de importancia sistémica en el mercado de valores costarricense, de esto deriva lo señalado en torno a la necesidad de incorporar las dimensiones de “incentivos” y “concentración”, en la metodología de aplicación a entidades supervisadas por Sugeval</w:t>
      </w:r>
      <w:r w:rsidRPr="009B4D5C" w:rsidDel="007A057B">
        <w:rPr>
          <w:sz w:val="22"/>
          <w:szCs w:val="22"/>
        </w:rPr>
        <w:t>.</w:t>
      </w:r>
    </w:p>
    <w:p w14:paraId="43E8CDDF" w14:textId="77777777" w:rsidR="00817DB4" w:rsidRPr="009B4D5C" w:rsidRDefault="00817DB4" w:rsidP="00817DB4">
      <w:pPr>
        <w:jc w:val="both"/>
        <w:rPr>
          <w:sz w:val="22"/>
          <w:szCs w:val="22"/>
        </w:rPr>
      </w:pPr>
    </w:p>
    <w:p w14:paraId="552EC006" w14:textId="77777777" w:rsidR="00817DB4" w:rsidRPr="009B4D5C" w:rsidRDefault="00817DB4" w:rsidP="00817DB4">
      <w:pPr>
        <w:ind w:left="709" w:hanging="709"/>
        <w:jc w:val="both"/>
        <w:rPr>
          <w:sz w:val="22"/>
          <w:szCs w:val="22"/>
        </w:rPr>
      </w:pPr>
      <w:r w:rsidRPr="009B4D5C">
        <w:rPr>
          <w:b/>
          <w:bCs/>
          <w:sz w:val="22"/>
          <w:szCs w:val="22"/>
        </w:rPr>
        <w:t>XII.</w:t>
      </w:r>
      <w:r w:rsidRPr="009B4D5C">
        <w:rPr>
          <w:b/>
          <w:bCs/>
          <w:sz w:val="22"/>
          <w:szCs w:val="22"/>
        </w:rPr>
        <w:tab/>
      </w:r>
      <w:r w:rsidRPr="009B4D5C">
        <w:rPr>
          <w:sz w:val="22"/>
          <w:szCs w:val="22"/>
        </w:rPr>
        <w:t>Los Principios aplicables a las infraestructuras del mercado financiero (IMF) emitidos por el Comité Técnico de IOSCO, procuran mejorar la seguridad y la eficiencia de los mecanismos de pago, compensación, liquidación y registro, y, más en general, limitar el riesgo sistémico y promover la transparencia y la estabilidad financiera. Las IMF, concebidas y gestionadas de manera deficiente, pueden contribuir a las crisis sistémicas y agravarlas si los riesgos de esos sistemas no se gestionan adecuadamente y, como resultado de ello, las perturbaciones financieras se trasladen de un participante o IMF a otros. Los efectos de esa perturbación podrían extenderse mucho más allá de las IMF y de quienes participan en ellas, y poner en peligro la estabilidad de los mercados financieros nacionales y de la economía en su conjunto. En cambio, las IMF sólidas han demostrado ser una fuente importante de fortaleza en los mercados financieros al proporcionar a los participantes en el mercado la confianza necesaria para cumplir sus obligaciones con puntualidad, incluso en periodos de tensión en el mercado, de esto resulta la conveniencia de que algunas infraestructuras, por la relevancia que tienen en el mercado financiero, sean objeto del tratamiento regulatorio diferenciado propio de las entidades de importancia sistémica.</w:t>
      </w:r>
    </w:p>
    <w:p w14:paraId="7D89821D" w14:textId="77777777" w:rsidR="00817DB4" w:rsidRPr="009B4D5C" w:rsidRDefault="00817DB4" w:rsidP="00817DB4">
      <w:pPr>
        <w:jc w:val="both"/>
        <w:rPr>
          <w:sz w:val="22"/>
          <w:szCs w:val="22"/>
        </w:rPr>
      </w:pPr>
      <w:bookmarkStart w:id="2" w:name="_Toc128725008"/>
    </w:p>
    <w:p w14:paraId="1F518DDF" w14:textId="77777777" w:rsidR="00817DB4" w:rsidRPr="009B4D5C" w:rsidRDefault="00817DB4" w:rsidP="00817DB4">
      <w:pPr>
        <w:jc w:val="both"/>
        <w:rPr>
          <w:b/>
          <w:bCs/>
          <w:sz w:val="22"/>
          <w:szCs w:val="22"/>
        </w:rPr>
      </w:pPr>
      <w:r w:rsidRPr="009B4D5C">
        <w:rPr>
          <w:b/>
          <w:bCs/>
          <w:sz w:val="22"/>
          <w:szCs w:val="22"/>
        </w:rPr>
        <w:t>Consideraciones de perspectiva prudencial</w:t>
      </w:r>
    </w:p>
    <w:p w14:paraId="16BC56E4" w14:textId="77777777" w:rsidR="00817DB4" w:rsidRPr="009B4D5C" w:rsidRDefault="00817DB4" w:rsidP="00817DB4">
      <w:pPr>
        <w:jc w:val="both"/>
        <w:rPr>
          <w:sz w:val="22"/>
          <w:szCs w:val="22"/>
        </w:rPr>
      </w:pPr>
    </w:p>
    <w:bookmarkEnd w:id="2"/>
    <w:p w14:paraId="525E291E" w14:textId="77777777" w:rsidR="00817DB4" w:rsidRPr="009B4D5C" w:rsidRDefault="00817DB4" w:rsidP="00817DB4">
      <w:pPr>
        <w:ind w:left="709" w:hanging="709"/>
        <w:jc w:val="both"/>
        <w:rPr>
          <w:sz w:val="22"/>
          <w:szCs w:val="22"/>
        </w:rPr>
      </w:pPr>
      <w:r w:rsidRPr="009B4D5C">
        <w:rPr>
          <w:b/>
          <w:bCs/>
          <w:sz w:val="22"/>
          <w:szCs w:val="22"/>
        </w:rPr>
        <w:t>XIII.</w:t>
      </w:r>
      <w:r w:rsidRPr="009B4D5C">
        <w:rPr>
          <w:b/>
          <w:bCs/>
          <w:sz w:val="22"/>
          <w:szCs w:val="22"/>
        </w:rPr>
        <w:tab/>
      </w:r>
      <w:r w:rsidRPr="009B4D5C">
        <w:rPr>
          <w:sz w:val="22"/>
          <w:szCs w:val="22"/>
        </w:rPr>
        <w:t>Una entidad financiera tiene importancia sistémica a nivel local cuando su deterioro financiero o eventual insolvencia pueda comprometer la estabilidad del sistema financiero en su conjunto. Los organismos internacionales de supervisión consideran que la importancia sistémica debe medirse en términos del impacto que la quiebra de una entidad pueda tener en el sistema financiero y en el conjunto de la economía, y no como el riesgo de que la quiebra se produzca. En este contexto, las exigencias adicionales para estas entidades buscan acotar su impacto sistémico y reducir el riesgo moral, internalizando las potenciales externalidades negativas que su deterioro financiero o eventual insolvencia pudiesen ocasionar.</w:t>
      </w:r>
    </w:p>
    <w:p w14:paraId="015C37E6" w14:textId="77777777" w:rsidR="00817DB4" w:rsidRPr="009B4D5C" w:rsidRDefault="00817DB4" w:rsidP="00817DB4">
      <w:pPr>
        <w:jc w:val="both"/>
        <w:rPr>
          <w:sz w:val="22"/>
          <w:szCs w:val="22"/>
        </w:rPr>
      </w:pPr>
    </w:p>
    <w:p w14:paraId="49D9176B" w14:textId="77777777" w:rsidR="00817DB4" w:rsidRPr="009B4D5C" w:rsidRDefault="00817DB4" w:rsidP="00817DB4">
      <w:pPr>
        <w:ind w:left="709" w:hanging="709"/>
        <w:jc w:val="both"/>
        <w:rPr>
          <w:sz w:val="22"/>
          <w:szCs w:val="22"/>
        </w:rPr>
      </w:pPr>
      <w:r w:rsidRPr="009B4D5C">
        <w:rPr>
          <w:b/>
          <w:bCs/>
          <w:sz w:val="22"/>
          <w:szCs w:val="22"/>
        </w:rPr>
        <w:t>XIV.</w:t>
      </w:r>
      <w:r w:rsidRPr="009B4D5C">
        <w:rPr>
          <w:b/>
          <w:bCs/>
          <w:sz w:val="22"/>
          <w:szCs w:val="22"/>
        </w:rPr>
        <w:tab/>
      </w:r>
      <w:r w:rsidRPr="009B4D5C">
        <w:rPr>
          <w:sz w:val="22"/>
          <w:szCs w:val="22"/>
        </w:rPr>
        <w:t xml:space="preserve">Las entidades de importancia sistémica crean externalidades negativas (efectos secundarios adversos) que pueden no estar contempladas, plenamente, en las regulaciones vigentes. Al intentar maximizar sus beneficios privados, las instituciones financieras pueden tomar decisiones racionales a nivel individual que, al no tener en cuenta dichas externalidades, no son óptimas para el conjunto del sistema. Estas externalidades negativas incluyen el impacto de la quiebra o el deterioro de grandes instituciones financieras interconectadas, que pueden transmitir perturbaciones a todo el sistema financiero y que, a su vez, pueden dañar la economía real. Además, los costes en forma de riesgo moral asociados al apoyo directo y a las garantías implícitas del Gobierno pueden incentivar la asunción de riesgos, reducir la disciplina del mercado, crear distorsiones para la competencia y aumentar aún más la probabilidad de </w:t>
      </w:r>
      <w:r w:rsidRPr="009B4D5C">
        <w:rPr>
          <w:sz w:val="22"/>
          <w:szCs w:val="22"/>
        </w:rPr>
        <w:lastRenderedPageBreak/>
        <w:t>episodios de tensión en el futuro. Como resultado, los costes relativos al riesgo moral se suman a los costes directos de apoyo que puedan tener que sufragar los contribuyentes.</w:t>
      </w:r>
    </w:p>
    <w:p w14:paraId="28644BCD" w14:textId="77777777" w:rsidR="00817DB4" w:rsidRPr="009B4D5C" w:rsidRDefault="00817DB4" w:rsidP="00817DB4">
      <w:pPr>
        <w:jc w:val="both"/>
        <w:rPr>
          <w:sz w:val="22"/>
          <w:szCs w:val="22"/>
        </w:rPr>
      </w:pPr>
    </w:p>
    <w:p w14:paraId="2ABCB3F1" w14:textId="77777777" w:rsidR="00817DB4" w:rsidRPr="009B4D5C" w:rsidRDefault="00817DB4" w:rsidP="00817DB4">
      <w:pPr>
        <w:ind w:left="709" w:hanging="709"/>
        <w:jc w:val="both"/>
        <w:rPr>
          <w:sz w:val="22"/>
          <w:szCs w:val="22"/>
        </w:rPr>
      </w:pPr>
      <w:r w:rsidRPr="009B4D5C">
        <w:rPr>
          <w:b/>
          <w:bCs/>
          <w:sz w:val="22"/>
          <w:szCs w:val="22"/>
        </w:rPr>
        <w:t>XV.</w:t>
      </w:r>
      <w:r w:rsidRPr="009B4D5C">
        <w:rPr>
          <w:b/>
          <w:bCs/>
          <w:sz w:val="22"/>
          <w:szCs w:val="22"/>
        </w:rPr>
        <w:tab/>
      </w:r>
      <w:r w:rsidRPr="009B4D5C">
        <w:rPr>
          <w:sz w:val="22"/>
          <w:szCs w:val="22"/>
        </w:rPr>
        <w:t>Además de la aplicación diferenciada de las normas prudenciales, la identificación y divulgación de las entidades que ostentan la condición de importancia sistémica, permite gestionar riesgos y tomar decisiones a nivel macroprudencial, que propendan a mantener la estabilidad del sistema financiero y de la economía; consecuentemente, es necesario que los órganos de supervisión apliquen la metodología aprobada de manera periódica y que hagan de conocimiento público la lista de entidades de importancia sistémica, información que puede ser utilizada por otras autoridades y las infraestructuras de mercado, para evaluar las interrelaciones que presentan las entidades sistémicas entre sí y con otros participantes. La identificación de entidades sistémicas no implica que se emita un criterio o recomendación sobre la gestión o solvencia de las entidades.</w:t>
      </w:r>
    </w:p>
    <w:p w14:paraId="244FEE6F" w14:textId="77777777" w:rsidR="00817DB4" w:rsidRPr="009B4D5C" w:rsidRDefault="00817DB4" w:rsidP="00817DB4">
      <w:pPr>
        <w:jc w:val="both"/>
        <w:rPr>
          <w:sz w:val="22"/>
          <w:szCs w:val="22"/>
        </w:rPr>
      </w:pPr>
    </w:p>
    <w:p w14:paraId="297ACF8C" w14:textId="77777777" w:rsidR="00817DB4" w:rsidRPr="009B4D5C" w:rsidRDefault="00817DB4" w:rsidP="00817DB4">
      <w:pPr>
        <w:ind w:left="709" w:hanging="709"/>
        <w:jc w:val="both"/>
        <w:rPr>
          <w:sz w:val="22"/>
          <w:szCs w:val="22"/>
        </w:rPr>
      </w:pPr>
      <w:r w:rsidRPr="009B4D5C">
        <w:rPr>
          <w:b/>
          <w:bCs/>
          <w:sz w:val="22"/>
          <w:szCs w:val="22"/>
        </w:rPr>
        <w:t>XVI.</w:t>
      </w:r>
      <w:r w:rsidRPr="009B4D5C">
        <w:rPr>
          <w:b/>
          <w:bCs/>
          <w:sz w:val="22"/>
          <w:szCs w:val="22"/>
        </w:rPr>
        <w:tab/>
      </w:r>
      <w:r w:rsidRPr="009B4D5C">
        <w:rPr>
          <w:sz w:val="22"/>
          <w:szCs w:val="22"/>
        </w:rPr>
        <w:t>Es conveniente que las superintendencias proporcionen a las entidades financieras información de la condición de entidad de importancia sistémica, por transparencia y con el fin de que puedan monitorear, de forma prospectiva, la evolución de su índice de importancia sistémica.</w:t>
      </w:r>
    </w:p>
    <w:p w14:paraId="677902AD" w14:textId="77777777" w:rsidR="00817DB4" w:rsidRPr="009B4D5C" w:rsidRDefault="00817DB4" w:rsidP="00817DB4">
      <w:pPr>
        <w:jc w:val="both"/>
        <w:rPr>
          <w:sz w:val="22"/>
          <w:szCs w:val="22"/>
        </w:rPr>
      </w:pPr>
    </w:p>
    <w:p w14:paraId="2868985E" w14:textId="77777777" w:rsidR="00817DB4" w:rsidRPr="009B4D5C" w:rsidRDefault="00817DB4" w:rsidP="00817DB4">
      <w:pPr>
        <w:jc w:val="both"/>
        <w:rPr>
          <w:b/>
          <w:bCs/>
          <w:sz w:val="22"/>
          <w:szCs w:val="22"/>
        </w:rPr>
      </w:pPr>
      <w:r w:rsidRPr="009B4D5C">
        <w:rPr>
          <w:b/>
          <w:bCs/>
          <w:sz w:val="22"/>
          <w:szCs w:val="22"/>
        </w:rPr>
        <w:t>Consideraciones sobre el trámite de la modificación</w:t>
      </w:r>
    </w:p>
    <w:p w14:paraId="4FAA08BE" w14:textId="77777777" w:rsidR="00817DB4" w:rsidRPr="009B4D5C" w:rsidRDefault="00817DB4" w:rsidP="00817DB4">
      <w:pPr>
        <w:jc w:val="both"/>
        <w:rPr>
          <w:sz w:val="22"/>
          <w:szCs w:val="22"/>
        </w:rPr>
      </w:pPr>
    </w:p>
    <w:p w14:paraId="491E3C83" w14:textId="77777777" w:rsidR="00817DB4" w:rsidRPr="009B4D5C" w:rsidRDefault="00817DB4" w:rsidP="00817DB4">
      <w:pPr>
        <w:ind w:left="709" w:hanging="709"/>
        <w:jc w:val="both"/>
        <w:rPr>
          <w:sz w:val="22"/>
          <w:szCs w:val="22"/>
        </w:rPr>
      </w:pPr>
      <w:r w:rsidRPr="009B4D5C">
        <w:rPr>
          <w:b/>
          <w:bCs/>
          <w:sz w:val="22"/>
          <w:szCs w:val="22"/>
        </w:rPr>
        <w:t>XVII.</w:t>
      </w:r>
      <w:r w:rsidRPr="009B4D5C">
        <w:rPr>
          <w:b/>
          <w:bCs/>
          <w:sz w:val="22"/>
          <w:szCs w:val="22"/>
        </w:rPr>
        <w:tab/>
      </w:r>
      <w:r w:rsidRPr="009B4D5C">
        <w:rPr>
          <w:sz w:val="22"/>
          <w:szCs w:val="22"/>
        </w:rPr>
        <w:t xml:space="preserve">De conformidad con lo dispuesto en los artículos 1 y 12 de la </w:t>
      </w:r>
      <w:r w:rsidRPr="009B4D5C">
        <w:rPr>
          <w:i/>
          <w:iCs/>
          <w:sz w:val="22"/>
          <w:szCs w:val="22"/>
        </w:rPr>
        <w:t>Ley de Protección al ciudadano del exceso de requisitos y trámites administrativos</w:t>
      </w:r>
      <w:r w:rsidRPr="009B4D5C">
        <w:rPr>
          <w:sz w:val="22"/>
          <w:szCs w:val="22"/>
        </w:rPr>
        <w:t xml:space="preserve"> (Ley</w:t>
      </w:r>
      <w:r w:rsidRPr="009B4D5C" w:rsidDel="00926EDD">
        <w:rPr>
          <w:sz w:val="22"/>
          <w:szCs w:val="22"/>
        </w:rPr>
        <w:t xml:space="preserve"> </w:t>
      </w:r>
      <w:r w:rsidRPr="009B4D5C">
        <w:rPr>
          <w:sz w:val="22"/>
          <w:szCs w:val="22"/>
        </w:rPr>
        <w:t xml:space="preserve">8220) y en los artículos 12, 12bis, 13, 13 bis y 56 al 60bis del </w:t>
      </w:r>
      <w:r w:rsidRPr="009B4D5C">
        <w:rPr>
          <w:i/>
          <w:iCs/>
          <w:sz w:val="22"/>
          <w:szCs w:val="22"/>
        </w:rPr>
        <w:t xml:space="preserve">Reglamento a la Ley de Protección al Ciudadano del Exceso de Requisitos y Trámites Administrativos </w:t>
      </w:r>
      <w:r w:rsidRPr="009B4D5C">
        <w:rPr>
          <w:sz w:val="22"/>
          <w:szCs w:val="22"/>
        </w:rPr>
        <w:t xml:space="preserve">(37045- MP-MEIC), la Administración Pública debe realizar un análisis de impacto regulatorio mediante una evaluación costo-beneficio antes de emitir cualquier nueva regulación o reformar las existentes, cuando establezcan trámites, requisitos y procedimientos que deba cumplir el administrado ante la Administración. De dicho análisis se determinó que la reforma al </w:t>
      </w:r>
      <w:r w:rsidRPr="009B4D5C">
        <w:rPr>
          <w:i/>
          <w:iCs/>
          <w:sz w:val="22"/>
          <w:szCs w:val="22"/>
        </w:rPr>
        <w:t>Reglamento sobre la metodología de identificación de entidades de importancia sistémica</w:t>
      </w:r>
      <w:r w:rsidRPr="009B4D5C">
        <w:rPr>
          <w:sz w:val="22"/>
          <w:szCs w:val="22"/>
        </w:rPr>
        <w:t xml:space="preserve">, que se plantea en este acuerdo no establece ni modifica trámites, requisitos o procedimientos que el administrado deba cumplir ante la Administración, por lo que no debe someterse al control previo indicado en la legislación citada. </w:t>
      </w:r>
    </w:p>
    <w:p w14:paraId="28043F1D" w14:textId="77777777" w:rsidR="00817DB4" w:rsidRPr="009B4D5C" w:rsidRDefault="00817DB4" w:rsidP="00817DB4">
      <w:pPr>
        <w:jc w:val="both"/>
        <w:rPr>
          <w:sz w:val="22"/>
          <w:szCs w:val="22"/>
        </w:rPr>
      </w:pPr>
    </w:p>
    <w:p w14:paraId="45F606FD" w14:textId="77777777" w:rsidR="00817DB4" w:rsidRPr="009B4D5C" w:rsidRDefault="00817DB4" w:rsidP="00817DB4">
      <w:pPr>
        <w:ind w:left="709" w:hanging="709"/>
        <w:jc w:val="both"/>
        <w:rPr>
          <w:sz w:val="22"/>
          <w:szCs w:val="22"/>
        </w:rPr>
      </w:pPr>
      <w:r w:rsidRPr="009B4D5C">
        <w:rPr>
          <w:b/>
          <w:bCs/>
          <w:sz w:val="22"/>
          <w:szCs w:val="22"/>
        </w:rPr>
        <w:t>XVIII.</w:t>
      </w:r>
      <w:r w:rsidRPr="009B4D5C">
        <w:rPr>
          <w:b/>
          <w:bCs/>
          <w:sz w:val="22"/>
          <w:szCs w:val="22"/>
        </w:rPr>
        <w:tab/>
      </w:r>
      <w:r w:rsidRPr="009B4D5C">
        <w:rPr>
          <w:sz w:val="22"/>
          <w:szCs w:val="22"/>
        </w:rPr>
        <w:t xml:space="preserve">El inciso 2 del Artículo 361 de la </w:t>
      </w:r>
      <w:r w:rsidRPr="009B4D5C">
        <w:rPr>
          <w:i/>
          <w:iCs/>
          <w:sz w:val="22"/>
          <w:szCs w:val="22"/>
        </w:rPr>
        <w:t>Ley General de la Administración Pública</w:t>
      </w:r>
      <w:r w:rsidRPr="009B4D5C">
        <w:rPr>
          <w:sz w:val="22"/>
          <w:szCs w:val="22"/>
        </w:rPr>
        <w:t>, establece que “2. Se concederá a las entidades representativas de intereses de carácter general o corporativo afectados por la disposición la oportunidad de exponer su parecer, dentro del plazo de diez días, salvo cuando se opongan a ello razones de interés público o de urgencia debidamente consignadas en el anteproyecto.</w:t>
      </w:r>
    </w:p>
    <w:p w14:paraId="0A76EE62" w14:textId="77777777" w:rsidR="00817DB4" w:rsidRPr="009B4D5C" w:rsidRDefault="00817DB4" w:rsidP="00817DB4">
      <w:pPr>
        <w:ind w:left="709" w:hanging="709"/>
        <w:jc w:val="both"/>
        <w:rPr>
          <w:sz w:val="22"/>
          <w:szCs w:val="22"/>
        </w:rPr>
      </w:pPr>
    </w:p>
    <w:p w14:paraId="0FA3CA3F" w14:textId="77777777" w:rsidR="00817DB4" w:rsidRPr="009B4D5C" w:rsidRDefault="00817DB4" w:rsidP="00817DB4">
      <w:pPr>
        <w:ind w:left="709" w:hanging="709"/>
        <w:jc w:val="both"/>
        <w:rPr>
          <w:b/>
          <w:bCs/>
          <w:sz w:val="22"/>
          <w:szCs w:val="22"/>
        </w:rPr>
      </w:pPr>
      <w:r w:rsidRPr="009B4D5C">
        <w:rPr>
          <w:b/>
          <w:bCs/>
          <w:sz w:val="22"/>
          <w:szCs w:val="22"/>
        </w:rPr>
        <w:t>dispuso:</w:t>
      </w:r>
    </w:p>
    <w:p w14:paraId="19927F8C" w14:textId="77777777" w:rsidR="00817DB4" w:rsidRPr="009B4D5C" w:rsidRDefault="00817DB4" w:rsidP="00817DB4">
      <w:pPr>
        <w:ind w:left="709" w:hanging="709"/>
        <w:jc w:val="both"/>
        <w:rPr>
          <w:b/>
          <w:bCs/>
          <w:sz w:val="22"/>
          <w:szCs w:val="22"/>
        </w:rPr>
      </w:pPr>
    </w:p>
    <w:p w14:paraId="2433DB3A" w14:textId="77777777" w:rsidR="00817DB4" w:rsidRPr="009B4D5C" w:rsidRDefault="00817DB4" w:rsidP="00817DB4">
      <w:pPr>
        <w:jc w:val="both"/>
        <w:rPr>
          <w:sz w:val="22"/>
          <w:szCs w:val="22"/>
        </w:rPr>
      </w:pPr>
      <w:r w:rsidRPr="009B4D5C">
        <w:rPr>
          <w:sz w:val="22"/>
          <w:szCs w:val="22"/>
        </w:rPr>
        <w:t xml:space="preserve">aprobar las modificaciones al Acuerdo CONASSIF 17-23, </w:t>
      </w:r>
      <w:r w:rsidRPr="009B4D5C">
        <w:rPr>
          <w:i/>
          <w:iCs/>
          <w:sz w:val="22"/>
          <w:szCs w:val="22"/>
        </w:rPr>
        <w:t>Reglamento sobre la metodología de identificación de entidades de importancia sistémica</w:t>
      </w:r>
      <w:r w:rsidRPr="009B4D5C">
        <w:rPr>
          <w:sz w:val="22"/>
          <w:szCs w:val="22"/>
        </w:rPr>
        <w:t>, conforme se indica a continuación:</w:t>
      </w:r>
    </w:p>
    <w:p w14:paraId="746E10D7" w14:textId="77777777" w:rsidR="00817DB4" w:rsidRPr="009B4D5C" w:rsidRDefault="00817DB4" w:rsidP="00817DB4">
      <w:pPr>
        <w:jc w:val="center"/>
        <w:rPr>
          <w:b/>
          <w:bCs/>
          <w:i/>
          <w:iCs/>
          <w:sz w:val="22"/>
          <w:szCs w:val="22"/>
        </w:rPr>
      </w:pPr>
    </w:p>
    <w:p w14:paraId="3D8900F7" w14:textId="77777777" w:rsidR="00817DB4" w:rsidRPr="009B4D5C" w:rsidRDefault="00817DB4" w:rsidP="00817DB4">
      <w:pPr>
        <w:jc w:val="both"/>
        <w:rPr>
          <w:b/>
          <w:bCs/>
          <w:sz w:val="22"/>
          <w:szCs w:val="22"/>
        </w:rPr>
      </w:pPr>
      <w:r w:rsidRPr="009B4D5C">
        <w:rPr>
          <w:b/>
          <w:bCs/>
          <w:sz w:val="22"/>
          <w:szCs w:val="22"/>
        </w:rPr>
        <w:t>I.</w:t>
      </w:r>
      <w:r w:rsidRPr="009B4D5C">
        <w:rPr>
          <w:b/>
          <w:bCs/>
          <w:sz w:val="22"/>
          <w:szCs w:val="22"/>
        </w:rPr>
        <w:tab/>
        <w:t>Modificar el artículo 2.- Alcance, para que en adelante se lea así:</w:t>
      </w:r>
    </w:p>
    <w:p w14:paraId="4BF6DD1F" w14:textId="77777777" w:rsidR="00817DB4" w:rsidRPr="009B4D5C" w:rsidRDefault="00817DB4" w:rsidP="00817DB4">
      <w:pPr>
        <w:jc w:val="both"/>
        <w:rPr>
          <w:sz w:val="22"/>
          <w:szCs w:val="22"/>
        </w:rPr>
      </w:pPr>
    </w:p>
    <w:p w14:paraId="588DBC7C" w14:textId="77777777" w:rsidR="00817DB4" w:rsidRPr="009B4D5C" w:rsidRDefault="00817DB4" w:rsidP="00817DB4">
      <w:pPr>
        <w:jc w:val="both"/>
        <w:rPr>
          <w:b/>
          <w:bCs/>
          <w:i/>
          <w:iCs/>
          <w:sz w:val="22"/>
          <w:szCs w:val="22"/>
        </w:rPr>
      </w:pPr>
      <w:r w:rsidRPr="009B4D5C">
        <w:rPr>
          <w:b/>
          <w:bCs/>
          <w:i/>
          <w:iCs/>
          <w:sz w:val="22"/>
          <w:szCs w:val="22"/>
        </w:rPr>
        <w:t>“Artículo 2. Alcance.</w:t>
      </w:r>
    </w:p>
    <w:p w14:paraId="5084D329" w14:textId="77777777" w:rsidR="00817DB4" w:rsidRPr="009B4D5C" w:rsidRDefault="00817DB4" w:rsidP="00817DB4">
      <w:pPr>
        <w:jc w:val="both"/>
        <w:rPr>
          <w:i/>
          <w:iCs/>
          <w:sz w:val="22"/>
          <w:szCs w:val="22"/>
        </w:rPr>
      </w:pPr>
    </w:p>
    <w:p w14:paraId="12A5BE3D" w14:textId="77777777" w:rsidR="00817DB4" w:rsidRPr="009B4D5C" w:rsidRDefault="00817DB4" w:rsidP="00817DB4">
      <w:pPr>
        <w:jc w:val="both"/>
        <w:rPr>
          <w:i/>
          <w:iCs/>
          <w:sz w:val="22"/>
          <w:szCs w:val="22"/>
        </w:rPr>
      </w:pPr>
      <w:r w:rsidRPr="009B4D5C">
        <w:rPr>
          <w:i/>
          <w:iCs/>
          <w:sz w:val="22"/>
          <w:szCs w:val="22"/>
        </w:rPr>
        <w:t xml:space="preserve">Las metodologías establecidas en este reglamento se aplicarán a las siguientes entidades: </w:t>
      </w:r>
    </w:p>
    <w:p w14:paraId="7B7FE4AD" w14:textId="77777777" w:rsidR="00817DB4" w:rsidRPr="009B4D5C" w:rsidRDefault="00817DB4" w:rsidP="00817DB4">
      <w:pPr>
        <w:jc w:val="both"/>
        <w:rPr>
          <w:i/>
          <w:iCs/>
          <w:sz w:val="22"/>
          <w:szCs w:val="22"/>
        </w:rPr>
      </w:pPr>
    </w:p>
    <w:p w14:paraId="7474BBBA" w14:textId="77777777" w:rsidR="00817DB4" w:rsidRPr="009B4D5C" w:rsidRDefault="00817DB4" w:rsidP="00817DB4">
      <w:pPr>
        <w:tabs>
          <w:tab w:val="left" w:pos="426"/>
        </w:tabs>
        <w:jc w:val="both"/>
        <w:rPr>
          <w:i/>
          <w:iCs/>
          <w:sz w:val="22"/>
          <w:szCs w:val="22"/>
        </w:rPr>
      </w:pPr>
      <w:r w:rsidRPr="009B4D5C">
        <w:rPr>
          <w:i/>
          <w:iCs/>
          <w:sz w:val="22"/>
          <w:szCs w:val="22"/>
        </w:rPr>
        <w:lastRenderedPageBreak/>
        <w:t>a.</w:t>
      </w:r>
      <w:r w:rsidRPr="009B4D5C">
        <w:rPr>
          <w:i/>
          <w:iCs/>
          <w:sz w:val="22"/>
          <w:szCs w:val="22"/>
        </w:rPr>
        <w:tab/>
        <w:t xml:space="preserve">Supervisados por SUGEF: </w:t>
      </w:r>
    </w:p>
    <w:p w14:paraId="3D52CA94" w14:textId="77777777" w:rsidR="00817DB4" w:rsidRPr="009B4D5C" w:rsidRDefault="00817DB4" w:rsidP="00817DB4">
      <w:pPr>
        <w:tabs>
          <w:tab w:val="left" w:pos="851"/>
        </w:tabs>
        <w:ind w:left="426"/>
        <w:jc w:val="both"/>
        <w:rPr>
          <w:i/>
          <w:iCs/>
          <w:sz w:val="22"/>
          <w:szCs w:val="22"/>
        </w:rPr>
      </w:pPr>
      <w:r w:rsidRPr="009B4D5C">
        <w:rPr>
          <w:i/>
          <w:iCs/>
          <w:sz w:val="22"/>
          <w:szCs w:val="22"/>
        </w:rPr>
        <w:t>i.</w:t>
      </w:r>
      <w:r w:rsidRPr="009B4D5C">
        <w:rPr>
          <w:i/>
          <w:iCs/>
          <w:sz w:val="22"/>
          <w:szCs w:val="22"/>
        </w:rPr>
        <w:tab/>
        <w:t xml:space="preserve">Bancos comerciales del Estado. </w:t>
      </w:r>
    </w:p>
    <w:p w14:paraId="2C325AEC" w14:textId="77777777" w:rsidR="00817DB4" w:rsidRPr="009B4D5C" w:rsidRDefault="00817DB4" w:rsidP="00817DB4">
      <w:pPr>
        <w:tabs>
          <w:tab w:val="left" w:pos="851"/>
        </w:tabs>
        <w:ind w:left="426"/>
        <w:jc w:val="both"/>
        <w:rPr>
          <w:i/>
          <w:iCs/>
          <w:sz w:val="22"/>
          <w:szCs w:val="22"/>
        </w:rPr>
      </w:pPr>
      <w:r w:rsidRPr="009B4D5C">
        <w:rPr>
          <w:i/>
          <w:iCs/>
          <w:sz w:val="22"/>
          <w:szCs w:val="22"/>
        </w:rPr>
        <w:t>ii.</w:t>
      </w:r>
      <w:r w:rsidRPr="009B4D5C">
        <w:rPr>
          <w:i/>
          <w:iCs/>
          <w:sz w:val="22"/>
          <w:szCs w:val="22"/>
        </w:rPr>
        <w:tab/>
        <w:t>Bancos creados por ley especial.</w:t>
      </w:r>
    </w:p>
    <w:p w14:paraId="22D6CA55" w14:textId="77777777" w:rsidR="00817DB4" w:rsidRPr="009B4D5C" w:rsidRDefault="00817DB4" w:rsidP="00817DB4">
      <w:pPr>
        <w:tabs>
          <w:tab w:val="left" w:pos="851"/>
        </w:tabs>
        <w:ind w:left="426"/>
        <w:jc w:val="both"/>
        <w:rPr>
          <w:i/>
          <w:iCs/>
          <w:sz w:val="22"/>
          <w:szCs w:val="22"/>
        </w:rPr>
      </w:pPr>
      <w:r w:rsidRPr="009B4D5C">
        <w:rPr>
          <w:i/>
          <w:iCs/>
          <w:sz w:val="22"/>
          <w:szCs w:val="22"/>
        </w:rPr>
        <w:t>iii.</w:t>
      </w:r>
      <w:r w:rsidRPr="009B4D5C">
        <w:rPr>
          <w:i/>
          <w:iCs/>
          <w:sz w:val="22"/>
          <w:szCs w:val="22"/>
        </w:rPr>
        <w:tab/>
        <w:t>Bancos privados.</w:t>
      </w:r>
    </w:p>
    <w:p w14:paraId="251CD401" w14:textId="77777777" w:rsidR="00817DB4" w:rsidRPr="009B4D5C" w:rsidRDefault="00817DB4" w:rsidP="00817DB4">
      <w:pPr>
        <w:tabs>
          <w:tab w:val="left" w:pos="851"/>
        </w:tabs>
        <w:ind w:left="426"/>
        <w:jc w:val="both"/>
        <w:rPr>
          <w:i/>
          <w:iCs/>
          <w:sz w:val="22"/>
          <w:szCs w:val="22"/>
        </w:rPr>
      </w:pPr>
      <w:r w:rsidRPr="009B4D5C">
        <w:rPr>
          <w:i/>
          <w:iCs/>
          <w:sz w:val="22"/>
          <w:szCs w:val="22"/>
        </w:rPr>
        <w:t>iv.</w:t>
      </w:r>
      <w:r w:rsidRPr="009B4D5C">
        <w:rPr>
          <w:i/>
          <w:iCs/>
          <w:sz w:val="22"/>
          <w:szCs w:val="22"/>
        </w:rPr>
        <w:tab/>
        <w:t xml:space="preserve">Empresas financieras no bancarias. </w:t>
      </w:r>
    </w:p>
    <w:p w14:paraId="5DFDFBE2" w14:textId="77777777" w:rsidR="00817DB4" w:rsidRPr="009B4D5C" w:rsidRDefault="00817DB4" w:rsidP="00817DB4">
      <w:pPr>
        <w:tabs>
          <w:tab w:val="left" w:pos="851"/>
        </w:tabs>
        <w:ind w:left="426"/>
        <w:jc w:val="both"/>
        <w:rPr>
          <w:i/>
          <w:iCs/>
          <w:sz w:val="22"/>
          <w:szCs w:val="22"/>
        </w:rPr>
      </w:pPr>
      <w:r w:rsidRPr="009B4D5C">
        <w:rPr>
          <w:i/>
          <w:iCs/>
          <w:sz w:val="22"/>
          <w:szCs w:val="22"/>
        </w:rPr>
        <w:t>v.</w:t>
      </w:r>
      <w:r w:rsidRPr="009B4D5C">
        <w:rPr>
          <w:i/>
          <w:iCs/>
          <w:sz w:val="22"/>
          <w:szCs w:val="22"/>
        </w:rPr>
        <w:tab/>
        <w:t xml:space="preserve">Organizaciones cooperativas de ahorro y crédito. </w:t>
      </w:r>
    </w:p>
    <w:p w14:paraId="73B4FEEA" w14:textId="77777777" w:rsidR="00817DB4" w:rsidRPr="009B4D5C" w:rsidRDefault="00817DB4" w:rsidP="00817DB4">
      <w:pPr>
        <w:tabs>
          <w:tab w:val="left" w:pos="851"/>
        </w:tabs>
        <w:ind w:left="426"/>
        <w:jc w:val="both"/>
        <w:rPr>
          <w:i/>
          <w:iCs/>
          <w:sz w:val="22"/>
          <w:szCs w:val="22"/>
        </w:rPr>
      </w:pPr>
      <w:r w:rsidRPr="009B4D5C">
        <w:rPr>
          <w:i/>
          <w:iCs/>
          <w:sz w:val="22"/>
          <w:szCs w:val="22"/>
        </w:rPr>
        <w:t>vi.</w:t>
      </w:r>
      <w:r w:rsidRPr="009B4D5C">
        <w:rPr>
          <w:i/>
          <w:iCs/>
          <w:sz w:val="22"/>
          <w:szCs w:val="22"/>
        </w:rPr>
        <w:tab/>
        <w:t xml:space="preserve">Mutuales de ahorro y préstamo. </w:t>
      </w:r>
    </w:p>
    <w:p w14:paraId="01A453D8" w14:textId="77777777" w:rsidR="00817DB4" w:rsidRPr="009B4D5C" w:rsidRDefault="00817DB4" w:rsidP="00817DB4">
      <w:pPr>
        <w:tabs>
          <w:tab w:val="left" w:pos="851"/>
        </w:tabs>
        <w:ind w:left="426"/>
        <w:jc w:val="both"/>
        <w:rPr>
          <w:i/>
          <w:iCs/>
          <w:sz w:val="22"/>
          <w:szCs w:val="22"/>
        </w:rPr>
      </w:pPr>
      <w:r w:rsidRPr="009B4D5C">
        <w:rPr>
          <w:i/>
          <w:iCs/>
          <w:sz w:val="22"/>
          <w:szCs w:val="22"/>
        </w:rPr>
        <w:t>vii.</w:t>
      </w:r>
      <w:r w:rsidRPr="009B4D5C">
        <w:rPr>
          <w:i/>
          <w:iCs/>
          <w:sz w:val="22"/>
          <w:szCs w:val="22"/>
        </w:rPr>
        <w:tab/>
        <w:t xml:space="preserve">Caja de ahorro y préstamos de la ANDE. </w:t>
      </w:r>
    </w:p>
    <w:p w14:paraId="18312A43" w14:textId="77777777" w:rsidR="00817DB4" w:rsidRPr="009B4D5C" w:rsidRDefault="00817DB4" w:rsidP="00817DB4">
      <w:pPr>
        <w:ind w:left="426"/>
        <w:jc w:val="both"/>
        <w:rPr>
          <w:i/>
          <w:iCs/>
          <w:sz w:val="22"/>
          <w:szCs w:val="22"/>
        </w:rPr>
      </w:pPr>
    </w:p>
    <w:p w14:paraId="312F06F0" w14:textId="77777777" w:rsidR="00817DB4" w:rsidRPr="009B4D5C" w:rsidRDefault="00817DB4" w:rsidP="00817DB4">
      <w:pPr>
        <w:tabs>
          <w:tab w:val="left" w:pos="426"/>
        </w:tabs>
        <w:jc w:val="both"/>
        <w:rPr>
          <w:i/>
          <w:iCs/>
          <w:sz w:val="22"/>
          <w:szCs w:val="22"/>
        </w:rPr>
      </w:pPr>
      <w:r w:rsidRPr="009B4D5C">
        <w:rPr>
          <w:i/>
          <w:iCs/>
          <w:sz w:val="22"/>
          <w:szCs w:val="22"/>
        </w:rPr>
        <w:t>b.</w:t>
      </w:r>
      <w:r w:rsidRPr="009B4D5C">
        <w:rPr>
          <w:i/>
          <w:iCs/>
          <w:sz w:val="22"/>
          <w:szCs w:val="22"/>
        </w:rPr>
        <w:tab/>
        <w:t xml:space="preserve">Supervisados por SUGEVAL: </w:t>
      </w:r>
    </w:p>
    <w:p w14:paraId="7429E5CF" w14:textId="77777777" w:rsidR="00817DB4" w:rsidRPr="009B4D5C" w:rsidRDefault="00817DB4" w:rsidP="00817DB4">
      <w:pPr>
        <w:tabs>
          <w:tab w:val="left" w:pos="851"/>
        </w:tabs>
        <w:ind w:left="426"/>
        <w:jc w:val="both"/>
        <w:rPr>
          <w:i/>
          <w:iCs/>
          <w:sz w:val="22"/>
          <w:szCs w:val="22"/>
        </w:rPr>
      </w:pPr>
      <w:r w:rsidRPr="009B4D5C">
        <w:rPr>
          <w:i/>
          <w:iCs/>
          <w:sz w:val="22"/>
          <w:szCs w:val="22"/>
        </w:rPr>
        <w:t>i.</w:t>
      </w:r>
      <w:r w:rsidRPr="009B4D5C">
        <w:rPr>
          <w:i/>
          <w:iCs/>
          <w:sz w:val="22"/>
          <w:szCs w:val="22"/>
        </w:rPr>
        <w:tab/>
        <w:t xml:space="preserve">Puestos de Bolsa. </w:t>
      </w:r>
    </w:p>
    <w:p w14:paraId="06623CBD" w14:textId="77777777" w:rsidR="00817DB4" w:rsidRPr="009B4D5C" w:rsidRDefault="00817DB4" w:rsidP="00817DB4">
      <w:pPr>
        <w:tabs>
          <w:tab w:val="left" w:pos="851"/>
        </w:tabs>
        <w:ind w:left="426"/>
        <w:jc w:val="both"/>
        <w:rPr>
          <w:i/>
          <w:iCs/>
          <w:sz w:val="22"/>
          <w:szCs w:val="22"/>
        </w:rPr>
      </w:pPr>
      <w:r w:rsidRPr="009B4D5C">
        <w:rPr>
          <w:i/>
          <w:iCs/>
          <w:sz w:val="22"/>
          <w:szCs w:val="22"/>
        </w:rPr>
        <w:t>ii.</w:t>
      </w:r>
      <w:r w:rsidRPr="009B4D5C">
        <w:rPr>
          <w:i/>
          <w:iCs/>
          <w:sz w:val="22"/>
          <w:szCs w:val="22"/>
        </w:rPr>
        <w:tab/>
        <w:t>Sociedades Administradoras de Fondos de Inversión.</w:t>
      </w:r>
    </w:p>
    <w:p w14:paraId="01C0C434" w14:textId="77777777" w:rsidR="00817DB4" w:rsidRPr="009B4D5C" w:rsidRDefault="00817DB4" w:rsidP="00817DB4">
      <w:pPr>
        <w:tabs>
          <w:tab w:val="left" w:pos="851"/>
        </w:tabs>
        <w:ind w:left="426"/>
        <w:jc w:val="both"/>
        <w:rPr>
          <w:i/>
          <w:iCs/>
          <w:sz w:val="22"/>
          <w:szCs w:val="22"/>
        </w:rPr>
      </w:pPr>
      <w:r w:rsidRPr="009B4D5C">
        <w:rPr>
          <w:i/>
          <w:iCs/>
          <w:sz w:val="22"/>
          <w:szCs w:val="22"/>
        </w:rPr>
        <w:t>iii.</w:t>
      </w:r>
      <w:r w:rsidRPr="009B4D5C">
        <w:rPr>
          <w:i/>
          <w:iCs/>
          <w:sz w:val="22"/>
          <w:szCs w:val="22"/>
        </w:rPr>
        <w:tab/>
        <w:t xml:space="preserve">Bolsas de Valores. </w:t>
      </w:r>
    </w:p>
    <w:p w14:paraId="5B33B271" w14:textId="77777777" w:rsidR="00817DB4" w:rsidRPr="009B4D5C" w:rsidRDefault="00817DB4" w:rsidP="00817DB4">
      <w:pPr>
        <w:tabs>
          <w:tab w:val="left" w:pos="851"/>
        </w:tabs>
        <w:ind w:left="426"/>
        <w:jc w:val="both"/>
        <w:rPr>
          <w:i/>
          <w:iCs/>
          <w:sz w:val="22"/>
          <w:szCs w:val="22"/>
        </w:rPr>
      </w:pPr>
      <w:r w:rsidRPr="009B4D5C">
        <w:rPr>
          <w:i/>
          <w:iCs/>
          <w:sz w:val="22"/>
          <w:szCs w:val="22"/>
        </w:rPr>
        <w:t>iv.</w:t>
      </w:r>
      <w:r w:rsidRPr="009B4D5C">
        <w:rPr>
          <w:i/>
          <w:iCs/>
          <w:sz w:val="22"/>
          <w:szCs w:val="22"/>
        </w:rPr>
        <w:tab/>
        <w:t xml:space="preserve">Sociedades de Compensación y Liquidación. </w:t>
      </w:r>
    </w:p>
    <w:p w14:paraId="695171B1" w14:textId="77777777" w:rsidR="00817DB4" w:rsidRPr="009B4D5C" w:rsidRDefault="00817DB4" w:rsidP="00817DB4">
      <w:pPr>
        <w:tabs>
          <w:tab w:val="left" w:pos="851"/>
        </w:tabs>
        <w:ind w:left="426"/>
        <w:jc w:val="both"/>
        <w:rPr>
          <w:i/>
          <w:iCs/>
          <w:sz w:val="22"/>
          <w:szCs w:val="22"/>
        </w:rPr>
      </w:pPr>
      <w:r w:rsidRPr="009B4D5C">
        <w:rPr>
          <w:i/>
          <w:iCs/>
          <w:sz w:val="22"/>
          <w:szCs w:val="22"/>
        </w:rPr>
        <w:t>v.</w:t>
      </w:r>
      <w:r w:rsidRPr="009B4D5C">
        <w:rPr>
          <w:i/>
          <w:iCs/>
          <w:sz w:val="22"/>
          <w:szCs w:val="22"/>
        </w:rPr>
        <w:tab/>
        <w:t>Centrales de Valores.</w:t>
      </w:r>
    </w:p>
    <w:p w14:paraId="74837F92" w14:textId="77777777" w:rsidR="00817DB4" w:rsidRPr="009B4D5C" w:rsidRDefault="00817DB4" w:rsidP="00817DB4">
      <w:pPr>
        <w:jc w:val="both"/>
        <w:rPr>
          <w:i/>
          <w:iCs/>
          <w:sz w:val="22"/>
          <w:szCs w:val="22"/>
        </w:rPr>
      </w:pPr>
    </w:p>
    <w:p w14:paraId="73C1EFEF" w14:textId="77777777" w:rsidR="00817DB4" w:rsidRPr="009B4D5C" w:rsidRDefault="00817DB4" w:rsidP="00817DB4">
      <w:pPr>
        <w:tabs>
          <w:tab w:val="left" w:pos="426"/>
        </w:tabs>
        <w:jc w:val="both"/>
        <w:rPr>
          <w:i/>
          <w:iCs/>
          <w:sz w:val="22"/>
          <w:szCs w:val="22"/>
        </w:rPr>
      </w:pPr>
      <w:r w:rsidRPr="009B4D5C">
        <w:rPr>
          <w:i/>
          <w:iCs/>
          <w:sz w:val="22"/>
          <w:szCs w:val="22"/>
        </w:rPr>
        <w:t>c.</w:t>
      </w:r>
      <w:r w:rsidRPr="009B4D5C">
        <w:rPr>
          <w:i/>
          <w:iCs/>
          <w:sz w:val="22"/>
          <w:szCs w:val="22"/>
        </w:rPr>
        <w:tab/>
        <w:t xml:space="preserve">Supervisados por SUGESE: </w:t>
      </w:r>
    </w:p>
    <w:p w14:paraId="721E933D" w14:textId="77777777" w:rsidR="00817DB4" w:rsidRPr="009B4D5C" w:rsidRDefault="00817DB4" w:rsidP="00817DB4">
      <w:pPr>
        <w:tabs>
          <w:tab w:val="left" w:pos="851"/>
        </w:tabs>
        <w:ind w:left="426"/>
        <w:jc w:val="both"/>
        <w:rPr>
          <w:i/>
          <w:iCs/>
          <w:sz w:val="22"/>
          <w:szCs w:val="22"/>
        </w:rPr>
      </w:pPr>
      <w:r w:rsidRPr="009B4D5C">
        <w:rPr>
          <w:i/>
          <w:iCs/>
          <w:sz w:val="22"/>
          <w:szCs w:val="22"/>
        </w:rPr>
        <w:t>i.</w:t>
      </w:r>
      <w:r w:rsidRPr="009B4D5C">
        <w:rPr>
          <w:i/>
          <w:iCs/>
          <w:sz w:val="22"/>
          <w:szCs w:val="22"/>
        </w:rPr>
        <w:tab/>
        <w:t>Aseguradoras.</w:t>
      </w:r>
    </w:p>
    <w:p w14:paraId="1A038F43" w14:textId="77777777" w:rsidR="00817DB4" w:rsidRPr="009B4D5C" w:rsidRDefault="00817DB4" w:rsidP="00817DB4">
      <w:pPr>
        <w:tabs>
          <w:tab w:val="left" w:pos="851"/>
        </w:tabs>
        <w:ind w:left="426"/>
        <w:jc w:val="both"/>
        <w:rPr>
          <w:i/>
          <w:iCs/>
          <w:sz w:val="22"/>
          <w:szCs w:val="22"/>
        </w:rPr>
      </w:pPr>
      <w:r w:rsidRPr="009B4D5C">
        <w:rPr>
          <w:i/>
          <w:iCs/>
          <w:sz w:val="22"/>
          <w:szCs w:val="22"/>
        </w:rPr>
        <w:t>ii.</w:t>
      </w:r>
      <w:r w:rsidRPr="009B4D5C">
        <w:rPr>
          <w:i/>
          <w:iCs/>
          <w:sz w:val="22"/>
          <w:szCs w:val="22"/>
        </w:rPr>
        <w:tab/>
        <w:t>Reaseguradoras.</w:t>
      </w:r>
    </w:p>
    <w:p w14:paraId="159BB9CF" w14:textId="77777777" w:rsidR="00817DB4" w:rsidRPr="009B4D5C" w:rsidRDefault="00817DB4" w:rsidP="00817DB4">
      <w:pPr>
        <w:jc w:val="both"/>
        <w:rPr>
          <w:i/>
          <w:iCs/>
          <w:sz w:val="22"/>
          <w:szCs w:val="22"/>
        </w:rPr>
      </w:pPr>
    </w:p>
    <w:p w14:paraId="12340415" w14:textId="77777777" w:rsidR="00817DB4" w:rsidRPr="009B4D5C" w:rsidRDefault="00817DB4" w:rsidP="00817DB4">
      <w:pPr>
        <w:tabs>
          <w:tab w:val="left" w:pos="426"/>
        </w:tabs>
        <w:jc w:val="both"/>
        <w:rPr>
          <w:i/>
          <w:iCs/>
          <w:sz w:val="22"/>
          <w:szCs w:val="22"/>
        </w:rPr>
      </w:pPr>
      <w:r w:rsidRPr="009B4D5C">
        <w:rPr>
          <w:i/>
          <w:iCs/>
          <w:sz w:val="22"/>
          <w:szCs w:val="22"/>
        </w:rPr>
        <w:t>d.</w:t>
      </w:r>
      <w:r w:rsidRPr="009B4D5C">
        <w:rPr>
          <w:i/>
          <w:iCs/>
          <w:sz w:val="22"/>
          <w:szCs w:val="22"/>
        </w:rPr>
        <w:tab/>
        <w:t>Supervisados por SUPEN:</w:t>
      </w:r>
    </w:p>
    <w:p w14:paraId="708D50D9" w14:textId="77777777" w:rsidR="00817DB4" w:rsidRPr="009B4D5C" w:rsidRDefault="00817DB4" w:rsidP="00817DB4">
      <w:pPr>
        <w:tabs>
          <w:tab w:val="left" w:pos="851"/>
        </w:tabs>
        <w:ind w:left="426"/>
        <w:jc w:val="both"/>
        <w:rPr>
          <w:i/>
          <w:iCs/>
          <w:sz w:val="22"/>
          <w:szCs w:val="22"/>
        </w:rPr>
      </w:pPr>
      <w:r w:rsidRPr="009B4D5C">
        <w:rPr>
          <w:i/>
          <w:iCs/>
          <w:sz w:val="22"/>
          <w:szCs w:val="22"/>
        </w:rPr>
        <w:t>i.</w:t>
      </w:r>
      <w:r w:rsidRPr="009B4D5C">
        <w:rPr>
          <w:i/>
          <w:iCs/>
          <w:sz w:val="22"/>
          <w:szCs w:val="22"/>
        </w:rPr>
        <w:tab/>
        <w:t>Operadoras de Pensiones.</w:t>
      </w:r>
    </w:p>
    <w:p w14:paraId="78639003" w14:textId="77777777" w:rsidR="00817DB4" w:rsidRPr="009B4D5C" w:rsidRDefault="00817DB4" w:rsidP="00817DB4">
      <w:pPr>
        <w:tabs>
          <w:tab w:val="left" w:pos="851"/>
        </w:tabs>
        <w:ind w:left="426"/>
        <w:jc w:val="both"/>
        <w:rPr>
          <w:i/>
          <w:iCs/>
          <w:sz w:val="22"/>
          <w:szCs w:val="22"/>
        </w:rPr>
      </w:pPr>
      <w:r w:rsidRPr="009B4D5C">
        <w:rPr>
          <w:i/>
          <w:iCs/>
          <w:sz w:val="22"/>
          <w:szCs w:val="22"/>
        </w:rPr>
        <w:t>ii.</w:t>
      </w:r>
      <w:r w:rsidRPr="009B4D5C">
        <w:rPr>
          <w:i/>
          <w:iCs/>
          <w:sz w:val="22"/>
          <w:szCs w:val="22"/>
        </w:rPr>
        <w:tab/>
        <w:t>Organizaciones sociales autorizadas para administrar los fondos de capitalización laboral.</w:t>
      </w:r>
    </w:p>
    <w:p w14:paraId="1E98B49C" w14:textId="77777777" w:rsidR="00817DB4" w:rsidRPr="009B4D5C" w:rsidRDefault="00817DB4" w:rsidP="00817DB4">
      <w:pPr>
        <w:tabs>
          <w:tab w:val="left" w:pos="851"/>
        </w:tabs>
        <w:ind w:left="426"/>
        <w:jc w:val="both"/>
        <w:rPr>
          <w:i/>
          <w:iCs/>
          <w:sz w:val="22"/>
          <w:szCs w:val="22"/>
        </w:rPr>
      </w:pPr>
      <w:r w:rsidRPr="009B4D5C">
        <w:rPr>
          <w:i/>
          <w:iCs/>
          <w:sz w:val="22"/>
          <w:szCs w:val="22"/>
        </w:rPr>
        <w:t>iii.</w:t>
      </w:r>
      <w:r w:rsidRPr="009B4D5C">
        <w:rPr>
          <w:i/>
          <w:iCs/>
          <w:sz w:val="22"/>
          <w:szCs w:val="22"/>
        </w:rPr>
        <w:tab/>
        <w:t>Entidades administradoras de regímenes de pensiones sustitutas o complementarias del régimen de invalidez, vejez y muerte (IVM), creados por leyes o convenciones colectivas.</w:t>
      </w:r>
    </w:p>
    <w:p w14:paraId="63557F57" w14:textId="77777777" w:rsidR="00817DB4" w:rsidRPr="009B4D5C" w:rsidRDefault="00817DB4" w:rsidP="00817DB4">
      <w:pPr>
        <w:tabs>
          <w:tab w:val="left" w:pos="851"/>
        </w:tabs>
        <w:ind w:left="426"/>
        <w:jc w:val="both"/>
        <w:rPr>
          <w:i/>
          <w:iCs/>
          <w:sz w:val="22"/>
          <w:szCs w:val="22"/>
        </w:rPr>
      </w:pPr>
      <w:r w:rsidRPr="009B4D5C">
        <w:rPr>
          <w:i/>
          <w:iCs/>
          <w:sz w:val="22"/>
          <w:szCs w:val="22"/>
        </w:rPr>
        <w:t>iv.</w:t>
      </w:r>
      <w:r w:rsidRPr="009B4D5C">
        <w:rPr>
          <w:i/>
          <w:iCs/>
          <w:sz w:val="22"/>
          <w:szCs w:val="22"/>
        </w:rPr>
        <w:tab/>
        <w:t>Régimen de invalidez, vejez y muerte (IVM)”</w:t>
      </w:r>
    </w:p>
    <w:p w14:paraId="62030F0F" w14:textId="77777777" w:rsidR="00817DB4" w:rsidRPr="009B4D5C" w:rsidRDefault="00817DB4" w:rsidP="00817DB4">
      <w:pPr>
        <w:jc w:val="both"/>
        <w:rPr>
          <w:sz w:val="22"/>
          <w:szCs w:val="22"/>
        </w:rPr>
      </w:pPr>
    </w:p>
    <w:p w14:paraId="2A65A637" w14:textId="77777777" w:rsidR="00817DB4" w:rsidRPr="009B4D5C" w:rsidRDefault="00817DB4" w:rsidP="00817DB4">
      <w:pPr>
        <w:jc w:val="both"/>
        <w:rPr>
          <w:b/>
          <w:bCs/>
          <w:sz w:val="22"/>
          <w:szCs w:val="22"/>
        </w:rPr>
      </w:pPr>
      <w:r w:rsidRPr="009B4D5C">
        <w:rPr>
          <w:b/>
          <w:bCs/>
          <w:sz w:val="22"/>
          <w:szCs w:val="22"/>
        </w:rPr>
        <w:t>II.</w:t>
      </w:r>
      <w:r w:rsidRPr="009B4D5C">
        <w:rPr>
          <w:b/>
          <w:bCs/>
          <w:sz w:val="22"/>
          <w:szCs w:val="22"/>
        </w:rPr>
        <w:tab/>
        <w:t>Adicionar un capítulo tercero con el siguiente contenido:</w:t>
      </w:r>
    </w:p>
    <w:p w14:paraId="18A657D0" w14:textId="77777777" w:rsidR="00817DB4" w:rsidRPr="009B4D5C" w:rsidRDefault="00817DB4" w:rsidP="00817DB4">
      <w:pPr>
        <w:jc w:val="both"/>
        <w:rPr>
          <w:sz w:val="22"/>
          <w:szCs w:val="22"/>
        </w:rPr>
      </w:pPr>
    </w:p>
    <w:p w14:paraId="40837325" w14:textId="77777777" w:rsidR="00817DB4" w:rsidRPr="009B4D5C" w:rsidRDefault="00817DB4" w:rsidP="00817DB4">
      <w:pPr>
        <w:jc w:val="center"/>
        <w:rPr>
          <w:b/>
          <w:bCs/>
          <w:i/>
          <w:iCs/>
          <w:sz w:val="22"/>
          <w:szCs w:val="22"/>
        </w:rPr>
      </w:pPr>
      <w:r w:rsidRPr="009B4D5C">
        <w:rPr>
          <w:b/>
          <w:bCs/>
          <w:i/>
          <w:iCs/>
          <w:sz w:val="22"/>
          <w:szCs w:val="22"/>
        </w:rPr>
        <w:t>“CAPÍTULO III</w:t>
      </w:r>
    </w:p>
    <w:p w14:paraId="0DE52F35" w14:textId="77777777" w:rsidR="00817DB4" w:rsidRPr="009B4D5C" w:rsidRDefault="00817DB4" w:rsidP="00817DB4">
      <w:pPr>
        <w:jc w:val="center"/>
        <w:rPr>
          <w:b/>
          <w:bCs/>
          <w:i/>
          <w:iCs/>
          <w:sz w:val="22"/>
          <w:szCs w:val="22"/>
        </w:rPr>
      </w:pPr>
      <w:r w:rsidRPr="009B4D5C">
        <w:rPr>
          <w:b/>
          <w:bCs/>
          <w:i/>
          <w:iCs/>
          <w:sz w:val="22"/>
          <w:szCs w:val="22"/>
        </w:rPr>
        <w:t>DISPOSICIONES SOBRE LA METODOLOGÍA DE IDENTIFICACIÓN DE ENTIDADES DE IMPORTANCIA SISTÉMICA SUPERVISADAS POR LA SUGEVAL</w:t>
      </w:r>
    </w:p>
    <w:p w14:paraId="2C50B2C9" w14:textId="77777777" w:rsidR="00817DB4" w:rsidRPr="009B4D5C" w:rsidRDefault="00817DB4" w:rsidP="00817DB4">
      <w:pPr>
        <w:jc w:val="both"/>
        <w:rPr>
          <w:i/>
          <w:iCs/>
          <w:sz w:val="22"/>
          <w:szCs w:val="22"/>
        </w:rPr>
      </w:pPr>
    </w:p>
    <w:p w14:paraId="2EE79B24" w14:textId="77777777" w:rsidR="00817DB4" w:rsidRPr="009B4D5C" w:rsidRDefault="00817DB4" w:rsidP="00817DB4">
      <w:pPr>
        <w:jc w:val="both"/>
        <w:rPr>
          <w:b/>
          <w:bCs/>
          <w:i/>
          <w:iCs/>
          <w:sz w:val="22"/>
          <w:szCs w:val="22"/>
        </w:rPr>
      </w:pPr>
      <w:r w:rsidRPr="009B4D5C">
        <w:rPr>
          <w:b/>
          <w:bCs/>
          <w:i/>
          <w:iCs/>
          <w:sz w:val="22"/>
          <w:szCs w:val="22"/>
        </w:rPr>
        <w:t>Artículo 7. Dimensiones.</w:t>
      </w:r>
    </w:p>
    <w:p w14:paraId="063790EB" w14:textId="77777777" w:rsidR="00817DB4" w:rsidRPr="009B4D5C" w:rsidRDefault="00817DB4" w:rsidP="00817DB4">
      <w:pPr>
        <w:jc w:val="both"/>
        <w:rPr>
          <w:i/>
          <w:iCs/>
          <w:sz w:val="22"/>
          <w:szCs w:val="22"/>
        </w:rPr>
      </w:pPr>
    </w:p>
    <w:p w14:paraId="1CBF3CDF" w14:textId="77777777" w:rsidR="00817DB4" w:rsidRPr="009B4D5C" w:rsidRDefault="00817DB4" w:rsidP="00817DB4">
      <w:pPr>
        <w:jc w:val="both"/>
        <w:rPr>
          <w:i/>
          <w:iCs/>
          <w:sz w:val="22"/>
          <w:szCs w:val="22"/>
        </w:rPr>
      </w:pPr>
      <w:r w:rsidRPr="009B4D5C">
        <w:rPr>
          <w:i/>
          <w:iCs/>
          <w:sz w:val="22"/>
          <w:szCs w:val="22"/>
        </w:rPr>
        <w:t>Para la identificación de puestos de bolsa y sociedades administradoras de fondos de inversión de importancia sistémica se consideran las siguientes dimensiones:</w:t>
      </w:r>
    </w:p>
    <w:p w14:paraId="6F8F0502" w14:textId="77777777" w:rsidR="00817DB4" w:rsidRPr="009B4D5C" w:rsidRDefault="00817DB4" w:rsidP="00817DB4">
      <w:pPr>
        <w:ind w:left="425"/>
        <w:jc w:val="both"/>
        <w:rPr>
          <w:i/>
          <w:iCs/>
          <w:sz w:val="22"/>
          <w:szCs w:val="22"/>
        </w:rPr>
      </w:pPr>
    </w:p>
    <w:p w14:paraId="5CC0214D" w14:textId="77777777" w:rsidR="00817DB4" w:rsidRPr="009B4D5C" w:rsidRDefault="00817DB4" w:rsidP="00817DB4">
      <w:pPr>
        <w:tabs>
          <w:tab w:val="left" w:pos="426"/>
        </w:tabs>
        <w:ind w:left="425"/>
        <w:jc w:val="both"/>
        <w:rPr>
          <w:i/>
          <w:iCs/>
          <w:sz w:val="22"/>
          <w:szCs w:val="22"/>
        </w:rPr>
      </w:pPr>
      <w:r w:rsidRPr="009B4D5C">
        <w:rPr>
          <w:i/>
          <w:iCs/>
          <w:sz w:val="22"/>
          <w:szCs w:val="22"/>
        </w:rPr>
        <w:t>1.</w:t>
      </w:r>
      <w:r w:rsidRPr="009B4D5C">
        <w:rPr>
          <w:i/>
          <w:iCs/>
          <w:sz w:val="22"/>
          <w:szCs w:val="22"/>
        </w:rPr>
        <w:tab/>
        <w:t>Tamaño.</w:t>
      </w:r>
    </w:p>
    <w:p w14:paraId="51CA5F50" w14:textId="77777777" w:rsidR="00817DB4" w:rsidRPr="009B4D5C" w:rsidRDefault="00817DB4" w:rsidP="00817DB4">
      <w:pPr>
        <w:tabs>
          <w:tab w:val="left" w:pos="426"/>
        </w:tabs>
        <w:ind w:left="425"/>
        <w:jc w:val="both"/>
        <w:rPr>
          <w:i/>
          <w:iCs/>
          <w:sz w:val="22"/>
          <w:szCs w:val="22"/>
        </w:rPr>
      </w:pPr>
      <w:r w:rsidRPr="009B4D5C">
        <w:rPr>
          <w:i/>
          <w:iCs/>
          <w:sz w:val="22"/>
          <w:szCs w:val="22"/>
        </w:rPr>
        <w:t>2.</w:t>
      </w:r>
      <w:r w:rsidRPr="009B4D5C">
        <w:rPr>
          <w:i/>
          <w:iCs/>
          <w:sz w:val="22"/>
          <w:szCs w:val="22"/>
        </w:rPr>
        <w:tab/>
        <w:t>Interconexión.</w:t>
      </w:r>
    </w:p>
    <w:p w14:paraId="5BB75FD2" w14:textId="77777777" w:rsidR="00817DB4" w:rsidRPr="009B4D5C" w:rsidRDefault="00817DB4" w:rsidP="00817DB4">
      <w:pPr>
        <w:tabs>
          <w:tab w:val="left" w:pos="426"/>
        </w:tabs>
        <w:ind w:left="425"/>
        <w:jc w:val="both"/>
        <w:rPr>
          <w:i/>
          <w:iCs/>
          <w:sz w:val="22"/>
          <w:szCs w:val="22"/>
        </w:rPr>
      </w:pPr>
      <w:r w:rsidRPr="009B4D5C">
        <w:rPr>
          <w:i/>
          <w:iCs/>
          <w:sz w:val="22"/>
          <w:szCs w:val="22"/>
        </w:rPr>
        <w:t>3.</w:t>
      </w:r>
      <w:r w:rsidRPr="009B4D5C">
        <w:rPr>
          <w:i/>
          <w:iCs/>
          <w:sz w:val="22"/>
          <w:szCs w:val="22"/>
        </w:rPr>
        <w:tab/>
        <w:t>Grado de sustitución.</w:t>
      </w:r>
    </w:p>
    <w:p w14:paraId="24E3DA60" w14:textId="77777777" w:rsidR="00817DB4" w:rsidRPr="009B4D5C" w:rsidRDefault="00817DB4" w:rsidP="00817DB4">
      <w:pPr>
        <w:tabs>
          <w:tab w:val="left" w:pos="426"/>
        </w:tabs>
        <w:ind w:left="425"/>
        <w:jc w:val="both"/>
        <w:rPr>
          <w:i/>
          <w:iCs/>
          <w:sz w:val="22"/>
          <w:szCs w:val="22"/>
        </w:rPr>
      </w:pPr>
      <w:r w:rsidRPr="009B4D5C">
        <w:rPr>
          <w:i/>
          <w:iCs/>
          <w:sz w:val="22"/>
          <w:szCs w:val="22"/>
        </w:rPr>
        <w:t>4.</w:t>
      </w:r>
      <w:r w:rsidRPr="009B4D5C">
        <w:rPr>
          <w:i/>
          <w:iCs/>
          <w:sz w:val="22"/>
          <w:szCs w:val="22"/>
        </w:rPr>
        <w:tab/>
        <w:t>Complejidad</w:t>
      </w:r>
    </w:p>
    <w:p w14:paraId="543D5B9B" w14:textId="77777777" w:rsidR="00817DB4" w:rsidRPr="009B4D5C" w:rsidRDefault="00817DB4" w:rsidP="00817DB4">
      <w:pPr>
        <w:tabs>
          <w:tab w:val="left" w:pos="426"/>
        </w:tabs>
        <w:ind w:left="425"/>
        <w:jc w:val="both"/>
        <w:rPr>
          <w:i/>
          <w:iCs/>
          <w:sz w:val="22"/>
          <w:szCs w:val="22"/>
        </w:rPr>
      </w:pPr>
      <w:r w:rsidRPr="009B4D5C">
        <w:rPr>
          <w:i/>
          <w:iCs/>
          <w:sz w:val="22"/>
          <w:szCs w:val="22"/>
        </w:rPr>
        <w:t>5.</w:t>
      </w:r>
      <w:r w:rsidRPr="009B4D5C">
        <w:rPr>
          <w:i/>
          <w:iCs/>
          <w:sz w:val="22"/>
          <w:szCs w:val="22"/>
        </w:rPr>
        <w:tab/>
        <w:t>Concentración.</w:t>
      </w:r>
    </w:p>
    <w:p w14:paraId="50F03521" w14:textId="77777777" w:rsidR="00817DB4" w:rsidRPr="009B4D5C" w:rsidRDefault="00817DB4" w:rsidP="00817DB4">
      <w:pPr>
        <w:tabs>
          <w:tab w:val="left" w:pos="426"/>
        </w:tabs>
        <w:ind w:left="425"/>
        <w:jc w:val="both"/>
        <w:rPr>
          <w:i/>
          <w:iCs/>
          <w:sz w:val="22"/>
          <w:szCs w:val="22"/>
        </w:rPr>
      </w:pPr>
      <w:r w:rsidRPr="009B4D5C">
        <w:rPr>
          <w:i/>
          <w:iCs/>
          <w:sz w:val="22"/>
          <w:szCs w:val="22"/>
        </w:rPr>
        <w:t>6.</w:t>
      </w:r>
      <w:r w:rsidRPr="009B4D5C">
        <w:rPr>
          <w:i/>
          <w:iCs/>
          <w:sz w:val="22"/>
          <w:szCs w:val="22"/>
        </w:rPr>
        <w:tab/>
        <w:t>Incentivos</w:t>
      </w:r>
    </w:p>
    <w:p w14:paraId="2A331B71" w14:textId="77777777" w:rsidR="00817DB4" w:rsidRPr="009B4D5C" w:rsidRDefault="00817DB4" w:rsidP="00817DB4">
      <w:pPr>
        <w:jc w:val="both"/>
        <w:rPr>
          <w:i/>
          <w:iCs/>
          <w:sz w:val="22"/>
          <w:szCs w:val="22"/>
        </w:rPr>
      </w:pPr>
    </w:p>
    <w:p w14:paraId="05B07979" w14:textId="77777777" w:rsidR="00817DB4" w:rsidRPr="009B4D5C" w:rsidRDefault="00817DB4" w:rsidP="00817DB4">
      <w:pPr>
        <w:jc w:val="both"/>
        <w:rPr>
          <w:i/>
          <w:iCs/>
          <w:sz w:val="22"/>
          <w:szCs w:val="22"/>
        </w:rPr>
      </w:pPr>
      <w:r w:rsidRPr="009B4D5C">
        <w:rPr>
          <w:i/>
          <w:iCs/>
          <w:sz w:val="22"/>
          <w:szCs w:val="22"/>
        </w:rPr>
        <w:t xml:space="preserve">Cada dimensión se compone de los indicadores definidos en el siguiente artículo, los cuales se expresan en base 10.000 como valor total.   </w:t>
      </w:r>
    </w:p>
    <w:p w14:paraId="5E30CC01" w14:textId="77777777" w:rsidR="00817DB4" w:rsidRPr="009B4D5C" w:rsidRDefault="00817DB4" w:rsidP="00817DB4">
      <w:pPr>
        <w:jc w:val="both"/>
        <w:rPr>
          <w:i/>
          <w:iCs/>
          <w:sz w:val="22"/>
          <w:szCs w:val="22"/>
        </w:rPr>
      </w:pPr>
    </w:p>
    <w:p w14:paraId="110F3349" w14:textId="77777777" w:rsidR="00817DB4" w:rsidRPr="009B4D5C" w:rsidRDefault="00817DB4" w:rsidP="00817DB4">
      <w:pPr>
        <w:jc w:val="both"/>
        <w:rPr>
          <w:i/>
          <w:iCs/>
          <w:sz w:val="22"/>
          <w:szCs w:val="22"/>
        </w:rPr>
      </w:pPr>
      <w:r w:rsidRPr="009B4D5C">
        <w:rPr>
          <w:i/>
          <w:iCs/>
          <w:sz w:val="22"/>
          <w:szCs w:val="22"/>
        </w:rPr>
        <w:lastRenderedPageBreak/>
        <w:t>La metodología se aplica a cada uno de los puestos de bolsa y sociedades administradoras de fondos de inversión supervisadas por SUGEVAL, sin agrupaciones de ningún tipo.</w:t>
      </w:r>
    </w:p>
    <w:p w14:paraId="0F2F20BC" w14:textId="77777777" w:rsidR="00817DB4" w:rsidRPr="009B4D5C" w:rsidRDefault="00817DB4" w:rsidP="00817DB4">
      <w:pPr>
        <w:jc w:val="both"/>
        <w:rPr>
          <w:sz w:val="22"/>
          <w:szCs w:val="22"/>
        </w:rPr>
      </w:pPr>
    </w:p>
    <w:p w14:paraId="1E077C07" w14:textId="77777777" w:rsidR="00817DB4" w:rsidRPr="009B4D5C" w:rsidRDefault="00817DB4" w:rsidP="00817DB4">
      <w:pPr>
        <w:jc w:val="both"/>
        <w:rPr>
          <w:b/>
          <w:bCs/>
          <w:i/>
          <w:iCs/>
          <w:sz w:val="22"/>
          <w:szCs w:val="22"/>
        </w:rPr>
      </w:pPr>
      <w:r w:rsidRPr="009B4D5C">
        <w:rPr>
          <w:b/>
          <w:bCs/>
          <w:i/>
          <w:iCs/>
          <w:sz w:val="22"/>
          <w:szCs w:val="22"/>
        </w:rPr>
        <w:t>Artículo 8. Indicadores.</w:t>
      </w:r>
    </w:p>
    <w:p w14:paraId="202DE712" w14:textId="77777777" w:rsidR="00817DB4" w:rsidRPr="009B4D5C" w:rsidRDefault="00817DB4" w:rsidP="00817DB4">
      <w:pPr>
        <w:jc w:val="both"/>
        <w:rPr>
          <w:sz w:val="22"/>
          <w:szCs w:val="22"/>
        </w:rPr>
      </w:pPr>
    </w:p>
    <w:p w14:paraId="1C065ECE" w14:textId="77777777" w:rsidR="00817DB4" w:rsidRPr="009B4D5C" w:rsidRDefault="00817DB4" w:rsidP="00817DB4">
      <w:pPr>
        <w:tabs>
          <w:tab w:val="left" w:pos="426"/>
        </w:tabs>
        <w:jc w:val="both"/>
        <w:rPr>
          <w:i/>
          <w:iCs/>
          <w:sz w:val="22"/>
          <w:szCs w:val="22"/>
        </w:rPr>
      </w:pPr>
      <w:r w:rsidRPr="009B4D5C">
        <w:rPr>
          <w:i/>
          <w:iCs/>
          <w:sz w:val="22"/>
          <w:szCs w:val="22"/>
        </w:rPr>
        <w:t>Para cada una de las dimensiones indicadas, se establecen los siguientes indicadores:</w:t>
      </w:r>
    </w:p>
    <w:p w14:paraId="3B6FC054" w14:textId="77777777" w:rsidR="00817DB4" w:rsidRPr="009B4D5C" w:rsidRDefault="00817DB4" w:rsidP="00817DB4">
      <w:pPr>
        <w:jc w:val="both"/>
        <w:rPr>
          <w:i/>
          <w:iCs/>
          <w:sz w:val="22"/>
          <w:szCs w:val="22"/>
        </w:rPr>
      </w:pPr>
    </w:p>
    <w:p w14:paraId="493238E5" w14:textId="77777777" w:rsidR="00817DB4" w:rsidRPr="009B4D5C" w:rsidRDefault="00817DB4" w:rsidP="00817DB4">
      <w:pPr>
        <w:tabs>
          <w:tab w:val="left" w:pos="426"/>
        </w:tabs>
        <w:jc w:val="both"/>
        <w:rPr>
          <w:b/>
          <w:bCs/>
          <w:i/>
          <w:iCs/>
          <w:sz w:val="22"/>
          <w:szCs w:val="22"/>
        </w:rPr>
      </w:pPr>
      <w:r w:rsidRPr="009B4D5C">
        <w:rPr>
          <w:b/>
          <w:bCs/>
          <w:i/>
          <w:iCs/>
          <w:sz w:val="22"/>
          <w:szCs w:val="22"/>
        </w:rPr>
        <w:t>1.</w:t>
      </w:r>
      <w:r w:rsidRPr="009B4D5C">
        <w:rPr>
          <w:b/>
          <w:bCs/>
          <w:i/>
          <w:iCs/>
          <w:sz w:val="22"/>
          <w:szCs w:val="22"/>
        </w:rPr>
        <w:tab/>
        <w:t>Tamaño.</w:t>
      </w:r>
    </w:p>
    <w:p w14:paraId="26BD95FD" w14:textId="77777777" w:rsidR="00817DB4" w:rsidRPr="009B4D5C" w:rsidRDefault="00817DB4" w:rsidP="00817DB4">
      <w:pPr>
        <w:jc w:val="both"/>
        <w:rPr>
          <w:i/>
          <w:iCs/>
          <w:sz w:val="22"/>
          <w:szCs w:val="22"/>
        </w:rPr>
      </w:pPr>
    </w:p>
    <w:p w14:paraId="522FDADC" w14:textId="77777777" w:rsidR="00817DB4" w:rsidRPr="009B4D5C" w:rsidRDefault="00817DB4" w:rsidP="00817DB4">
      <w:pPr>
        <w:ind w:left="993" w:hanging="567"/>
        <w:jc w:val="both"/>
        <w:rPr>
          <w:i/>
          <w:iCs/>
          <w:sz w:val="22"/>
          <w:szCs w:val="22"/>
        </w:rPr>
      </w:pPr>
      <w:r w:rsidRPr="009B4D5C">
        <w:rPr>
          <w:i/>
          <w:iCs/>
          <w:sz w:val="22"/>
          <w:szCs w:val="22"/>
        </w:rPr>
        <w:t>A.</w:t>
      </w:r>
      <w:r w:rsidRPr="009B4D5C">
        <w:rPr>
          <w:i/>
          <w:iCs/>
          <w:sz w:val="22"/>
          <w:szCs w:val="22"/>
        </w:rPr>
        <w:tab/>
        <w:t>Para los puestos de bolsa, la dimensión ‘Tamaño’ se mide en función de los siguientes indicadores:</w:t>
      </w:r>
    </w:p>
    <w:p w14:paraId="10EBFC7F" w14:textId="77777777" w:rsidR="00817DB4" w:rsidRPr="009B4D5C" w:rsidRDefault="00817DB4" w:rsidP="00817DB4">
      <w:pPr>
        <w:jc w:val="both"/>
        <w:rPr>
          <w:i/>
          <w:iCs/>
          <w:sz w:val="22"/>
          <w:szCs w:val="22"/>
        </w:rPr>
      </w:pPr>
    </w:p>
    <w:p w14:paraId="48424E0E" w14:textId="77777777" w:rsidR="00817DB4" w:rsidRPr="009B4D5C" w:rsidRDefault="00817DB4" w:rsidP="00817DB4">
      <w:pPr>
        <w:ind w:left="993"/>
        <w:jc w:val="both"/>
        <w:rPr>
          <w:i/>
          <w:iCs/>
          <w:sz w:val="22"/>
          <w:szCs w:val="22"/>
        </w:rPr>
      </w:pPr>
      <w:r w:rsidRPr="009B4D5C">
        <w:rPr>
          <w:i/>
          <w:iCs/>
          <w:sz w:val="22"/>
          <w:szCs w:val="22"/>
        </w:rPr>
        <w:t>a.</w:t>
      </w:r>
      <w:r w:rsidRPr="009B4D5C">
        <w:rPr>
          <w:i/>
          <w:iCs/>
          <w:sz w:val="22"/>
          <w:szCs w:val="22"/>
        </w:rPr>
        <w:tab/>
        <w:t>Total de activos en balance.</w:t>
      </w:r>
    </w:p>
    <w:p w14:paraId="32B95896" w14:textId="77777777" w:rsidR="00817DB4" w:rsidRPr="009B4D5C" w:rsidRDefault="00817DB4" w:rsidP="00817DB4">
      <w:pPr>
        <w:ind w:left="993"/>
        <w:jc w:val="both"/>
        <w:rPr>
          <w:i/>
          <w:iCs/>
          <w:sz w:val="22"/>
          <w:szCs w:val="22"/>
        </w:rPr>
      </w:pPr>
      <w:r w:rsidRPr="009B4D5C">
        <w:rPr>
          <w:i/>
          <w:iCs/>
          <w:sz w:val="22"/>
          <w:szCs w:val="22"/>
        </w:rPr>
        <w:t>b.</w:t>
      </w:r>
      <w:r w:rsidRPr="009B4D5C">
        <w:rPr>
          <w:i/>
          <w:iCs/>
          <w:sz w:val="22"/>
          <w:szCs w:val="22"/>
        </w:rPr>
        <w:tab/>
        <w:t>Total de activos por administración de carteras individuales.</w:t>
      </w:r>
    </w:p>
    <w:p w14:paraId="0B8842BE" w14:textId="77777777" w:rsidR="00817DB4" w:rsidRPr="009B4D5C" w:rsidRDefault="00817DB4" w:rsidP="00817DB4">
      <w:pPr>
        <w:jc w:val="both"/>
        <w:rPr>
          <w:i/>
          <w:iCs/>
          <w:sz w:val="22"/>
          <w:szCs w:val="22"/>
        </w:rPr>
      </w:pPr>
    </w:p>
    <w:p w14:paraId="05753B1C" w14:textId="77777777" w:rsidR="00817DB4" w:rsidRPr="009B4D5C" w:rsidRDefault="00817DB4" w:rsidP="00817DB4">
      <w:pPr>
        <w:ind w:left="993" w:hanging="567"/>
        <w:jc w:val="both"/>
        <w:rPr>
          <w:i/>
          <w:iCs/>
          <w:sz w:val="22"/>
          <w:szCs w:val="22"/>
        </w:rPr>
      </w:pPr>
      <w:r w:rsidRPr="009B4D5C">
        <w:rPr>
          <w:i/>
          <w:iCs/>
          <w:sz w:val="22"/>
          <w:szCs w:val="22"/>
        </w:rPr>
        <w:t>B.</w:t>
      </w:r>
      <w:r w:rsidRPr="009B4D5C">
        <w:rPr>
          <w:i/>
          <w:iCs/>
          <w:sz w:val="22"/>
          <w:szCs w:val="22"/>
        </w:rPr>
        <w:tab/>
        <w:t>Para las Sociedades Administradoras de Fondos de Inversión, la dimensión ‘Tamaño’ corresponde al total de activos netos gestionados de los fondos del mercado de dinero y de los fondos inmobiliarios.</w:t>
      </w:r>
    </w:p>
    <w:p w14:paraId="7D694A9B" w14:textId="77777777" w:rsidR="00817DB4" w:rsidRPr="009B4D5C" w:rsidRDefault="00817DB4" w:rsidP="00817DB4">
      <w:pPr>
        <w:jc w:val="both"/>
        <w:rPr>
          <w:sz w:val="22"/>
          <w:szCs w:val="22"/>
        </w:rPr>
      </w:pPr>
    </w:p>
    <w:p w14:paraId="4B60074E" w14:textId="77777777" w:rsidR="00817DB4" w:rsidRPr="009B4D5C" w:rsidRDefault="00817DB4" w:rsidP="00817DB4">
      <w:pPr>
        <w:ind w:left="426"/>
        <w:jc w:val="both"/>
        <w:rPr>
          <w:i/>
          <w:iCs/>
          <w:sz w:val="22"/>
          <w:szCs w:val="22"/>
        </w:rPr>
      </w:pPr>
      <w:r w:rsidRPr="009B4D5C">
        <w:rPr>
          <w:i/>
          <w:iCs/>
          <w:sz w:val="22"/>
          <w:szCs w:val="22"/>
        </w:rPr>
        <w:t xml:space="preserve">La importancia de una entidad financiera para la estabilidad del sistema financiero generalmente aumenta con la escala de las actividades que realiza. Entre mayor sea el tamaño de la entidad, más probabilidad tendrá de que sus problemas perjudiquen a la economía o a los mercados. </w:t>
      </w:r>
    </w:p>
    <w:p w14:paraId="3E0523DD" w14:textId="77777777" w:rsidR="00817DB4" w:rsidRPr="009B4D5C" w:rsidRDefault="00817DB4" w:rsidP="00817DB4">
      <w:pPr>
        <w:jc w:val="both"/>
        <w:rPr>
          <w:sz w:val="22"/>
          <w:szCs w:val="22"/>
        </w:rPr>
      </w:pPr>
    </w:p>
    <w:p w14:paraId="663D97AB" w14:textId="77777777" w:rsidR="00817DB4" w:rsidRPr="009B4D5C" w:rsidRDefault="00817DB4" w:rsidP="00817DB4">
      <w:pPr>
        <w:tabs>
          <w:tab w:val="left" w:pos="426"/>
        </w:tabs>
        <w:jc w:val="both"/>
        <w:rPr>
          <w:b/>
          <w:bCs/>
          <w:i/>
          <w:iCs/>
          <w:sz w:val="22"/>
          <w:szCs w:val="22"/>
        </w:rPr>
      </w:pPr>
      <w:r w:rsidRPr="009B4D5C">
        <w:rPr>
          <w:b/>
          <w:bCs/>
          <w:i/>
          <w:iCs/>
          <w:sz w:val="22"/>
          <w:szCs w:val="22"/>
        </w:rPr>
        <w:t>2.</w:t>
      </w:r>
      <w:r w:rsidRPr="009B4D5C">
        <w:rPr>
          <w:b/>
          <w:bCs/>
          <w:i/>
          <w:iCs/>
          <w:sz w:val="22"/>
          <w:szCs w:val="22"/>
        </w:rPr>
        <w:tab/>
        <w:t>Interconexión.</w:t>
      </w:r>
    </w:p>
    <w:p w14:paraId="63F078C6" w14:textId="77777777" w:rsidR="00817DB4" w:rsidRPr="009B4D5C" w:rsidRDefault="00817DB4" w:rsidP="00817DB4">
      <w:pPr>
        <w:jc w:val="both"/>
        <w:rPr>
          <w:sz w:val="22"/>
          <w:szCs w:val="22"/>
        </w:rPr>
      </w:pPr>
    </w:p>
    <w:p w14:paraId="1B563539" w14:textId="77777777" w:rsidR="00817DB4" w:rsidRPr="009B4D5C" w:rsidRDefault="00817DB4" w:rsidP="00817DB4">
      <w:pPr>
        <w:ind w:left="993" w:hanging="567"/>
        <w:jc w:val="both"/>
        <w:rPr>
          <w:i/>
          <w:iCs/>
          <w:sz w:val="22"/>
          <w:szCs w:val="22"/>
        </w:rPr>
      </w:pPr>
      <w:r w:rsidRPr="009B4D5C">
        <w:rPr>
          <w:i/>
          <w:iCs/>
          <w:sz w:val="22"/>
          <w:szCs w:val="22"/>
        </w:rPr>
        <w:t>A.</w:t>
      </w:r>
      <w:r w:rsidRPr="009B4D5C">
        <w:rPr>
          <w:i/>
          <w:iCs/>
          <w:sz w:val="22"/>
          <w:szCs w:val="22"/>
        </w:rPr>
        <w:tab/>
        <w:t>Para los puestos de bolsa, la dimensión “Interconexión” se mide en función de los siguientes indicadores:</w:t>
      </w:r>
    </w:p>
    <w:p w14:paraId="554497C2" w14:textId="77777777" w:rsidR="00817DB4" w:rsidRPr="009B4D5C" w:rsidRDefault="00817DB4" w:rsidP="00817DB4">
      <w:pPr>
        <w:jc w:val="both"/>
        <w:rPr>
          <w:sz w:val="22"/>
          <w:szCs w:val="22"/>
        </w:rPr>
      </w:pPr>
    </w:p>
    <w:p w14:paraId="437ED554" w14:textId="77777777" w:rsidR="00817DB4" w:rsidRPr="009B4D5C" w:rsidRDefault="00817DB4" w:rsidP="00817DB4">
      <w:pPr>
        <w:ind w:left="993"/>
        <w:jc w:val="both"/>
        <w:rPr>
          <w:i/>
          <w:iCs/>
          <w:sz w:val="22"/>
          <w:szCs w:val="22"/>
        </w:rPr>
      </w:pPr>
      <w:r w:rsidRPr="009B4D5C">
        <w:rPr>
          <w:i/>
          <w:iCs/>
          <w:sz w:val="22"/>
          <w:szCs w:val="22"/>
        </w:rPr>
        <w:t>a.</w:t>
      </w:r>
      <w:r w:rsidRPr="009B4D5C">
        <w:rPr>
          <w:i/>
          <w:iCs/>
          <w:sz w:val="22"/>
          <w:szCs w:val="22"/>
        </w:rPr>
        <w:tab/>
        <w:t>Total del saldo abierto a plazo por operaciones acordadas.</w:t>
      </w:r>
    </w:p>
    <w:p w14:paraId="73CAC7E9" w14:textId="77777777" w:rsidR="00817DB4" w:rsidRPr="009B4D5C" w:rsidRDefault="00817DB4" w:rsidP="00817DB4">
      <w:pPr>
        <w:ind w:left="1418" w:hanging="425"/>
        <w:jc w:val="both"/>
        <w:rPr>
          <w:i/>
          <w:iCs/>
          <w:sz w:val="22"/>
          <w:szCs w:val="22"/>
        </w:rPr>
      </w:pPr>
      <w:r w:rsidRPr="009B4D5C">
        <w:rPr>
          <w:i/>
          <w:iCs/>
          <w:sz w:val="22"/>
          <w:szCs w:val="22"/>
        </w:rPr>
        <w:t>b.</w:t>
      </w:r>
      <w:r w:rsidRPr="009B4D5C">
        <w:rPr>
          <w:i/>
          <w:iCs/>
          <w:sz w:val="22"/>
          <w:szCs w:val="22"/>
        </w:rPr>
        <w:tab/>
        <w:t>Participación relativa de las entidades bancarias supervisadas por SUGEF, fondos propiedad de terceros administrados por las entidades supervisadas por SUPEN, fondos de inversión inscritos en el Registro Nacional de Valores e Intermediarios y entidades aseguradoras o reaseguradoras supervisadas por SUGESE (en adelante inversionistas institucionales) en la custodia total.</w:t>
      </w:r>
    </w:p>
    <w:p w14:paraId="45643207" w14:textId="77777777" w:rsidR="00817DB4" w:rsidRPr="009B4D5C" w:rsidRDefault="00817DB4" w:rsidP="00817DB4">
      <w:pPr>
        <w:jc w:val="both"/>
        <w:rPr>
          <w:i/>
          <w:iCs/>
          <w:sz w:val="22"/>
          <w:szCs w:val="22"/>
        </w:rPr>
      </w:pPr>
    </w:p>
    <w:p w14:paraId="2FDFFE1A" w14:textId="77777777" w:rsidR="00817DB4" w:rsidRPr="009B4D5C" w:rsidRDefault="00817DB4" w:rsidP="00817DB4">
      <w:pPr>
        <w:ind w:left="993" w:hanging="567"/>
        <w:jc w:val="both"/>
        <w:rPr>
          <w:i/>
          <w:iCs/>
          <w:sz w:val="22"/>
          <w:szCs w:val="22"/>
        </w:rPr>
      </w:pPr>
      <w:r w:rsidRPr="009B4D5C">
        <w:rPr>
          <w:i/>
          <w:iCs/>
          <w:sz w:val="22"/>
          <w:szCs w:val="22"/>
        </w:rPr>
        <w:t>B.</w:t>
      </w:r>
      <w:r w:rsidRPr="009B4D5C">
        <w:rPr>
          <w:i/>
          <w:iCs/>
          <w:sz w:val="22"/>
          <w:szCs w:val="22"/>
        </w:rPr>
        <w:tab/>
        <w:t>Para las Sociedades Administradoras de Fondos de Inversión, la dimensión “Interconexión” se mide en función de los siguientes indicadores:</w:t>
      </w:r>
    </w:p>
    <w:p w14:paraId="3F23F0D4" w14:textId="77777777" w:rsidR="00817DB4" w:rsidRPr="009B4D5C" w:rsidRDefault="00817DB4" w:rsidP="00817DB4">
      <w:pPr>
        <w:jc w:val="both"/>
        <w:rPr>
          <w:sz w:val="22"/>
          <w:szCs w:val="22"/>
        </w:rPr>
      </w:pPr>
    </w:p>
    <w:p w14:paraId="60DAD67F" w14:textId="77777777" w:rsidR="00817DB4" w:rsidRPr="009B4D5C" w:rsidRDefault="00817DB4" w:rsidP="00817DB4">
      <w:pPr>
        <w:ind w:left="1418" w:hanging="425"/>
        <w:jc w:val="both"/>
        <w:rPr>
          <w:i/>
          <w:iCs/>
          <w:sz w:val="22"/>
          <w:szCs w:val="22"/>
        </w:rPr>
      </w:pPr>
      <w:r w:rsidRPr="009B4D5C">
        <w:rPr>
          <w:i/>
          <w:iCs/>
          <w:sz w:val="22"/>
          <w:szCs w:val="22"/>
        </w:rPr>
        <w:t>a.</w:t>
      </w:r>
      <w:r w:rsidRPr="009B4D5C">
        <w:rPr>
          <w:i/>
          <w:iCs/>
          <w:sz w:val="22"/>
          <w:szCs w:val="22"/>
        </w:rPr>
        <w:tab/>
        <w:t>Monto de las inversiones en papel comercial de entidades financieras sujetas a la fiscalización de la SUGEF.</w:t>
      </w:r>
    </w:p>
    <w:p w14:paraId="4663AC0A" w14:textId="77777777" w:rsidR="00817DB4" w:rsidRPr="009B4D5C" w:rsidRDefault="00817DB4" w:rsidP="00817DB4">
      <w:pPr>
        <w:ind w:left="1418" w:hanging="425"/>
        <w:jc w:val="both"/>
        <w:rPr>
          <w:i/>
          <w:iCs/>
          <w:sz w:val="22"/>
          <w:szCs w:val="22"/>
        </w:rPr>
      </w:pPr>
      <w:r w:rsidRPr="009B4D5C">
        <w:rPr>
          <w:i/>
          <w:iCs/>
          <w:sz w:val="22"/>
          <w:szCs w:val="22"/>
        </w:rPr>
        <w:t>b.</w:t>
      </w:r>
      <w:r w:rsidRPr="009B4D5C">
        <w:rPr>
          <w:i/>
          <w:iCs/>
          <w:sz w:val="22"/>
          <w:szCs w:val="22"/>
        </w:rPr>
        <w:tab/>
        <w:t>Monto de la posición como inversionista de los fondos de inversión en el saldo abierto a plazo.</w:t>
      </w:r>
    </w:p>
    <w:p w14:paraId="78CBD6AB" w14:textId="77777777" w:rsidR="00817DB4" w:rsidRPr="009B4D5C" w:rsidRDefault="00817DB4" w:rsidP="00817DB4">
      <w:pPr>
        <w:ind w:left="993"/>
        <w:jc w:val="both"/>
        <w:rPr>
          <w:i/>
          <w:iCs/>
          <w:sz w:val="22"/>
          <w:szCs w:val="22"/>
        </w:rPr>
      </w:pPr>
      <w:r w:rsidRPr="009B4D5C">
        <w:rPr>
          <w:i/>
          <w:iCs/>
          <w:sz w:val="22"/>
          <w:szCs w:val="22"/>
        </w:rPr>
        <w:t>c.</w:t>
      </w:r>
      <w:r w:rsidRPr="009B4D5C">
        <w:rPr>
          <w:i/>
          <w:iCs/>
          <w:sz w:val="22"/>
          <w:szCs w:val="22"/>
        </w:rPr>
        <w:tab/>
        <w:t>Saldo en cuentas corrientes de los fondos de inversión en el Sistema Bancario Nacional.</w:t>
      </w:r>
    </w:p>
    <w:p w14:paraId="3EF7528F" w14:textId="77777777" w:rsidR="00817DB4" w:rsidRPr="009B4D5C" w:rsidRDefault="00817DB4" w:rsidP="00817DB4">
      <w:pPr>
        <w:ind w:left="993"/>
        <w:jc w:val="both"/>
        <w:rPr>
          <w:i/>
          <w:iCs/>
          <w:sz w:val="22"/>
          <w:szCs w:val="22"/>
        </w:rPr>
      </w:pPr>
      <w:r w:rsidRPr="009B4D5C">
        <w:rPr>
          <w:i/>
          <w:iCs/>
          <w:sz w:val="22"/>
          <w:szCs w:val="22"/>
        </w:rPr>
        <w:t>d.</w:t>
      </w:r>
      <w:r w:rsidRPr="009B4D5C">
        <w:rPr>
          <w:i/>
          <w:iCs/>
          <w:sz w:val="22"/>
          <w:szCs w:val="22"/>
        </w:rPr>
        <w:tab/>
        <w:t>Monto de participación de inversionistas institucionales en fondos inmobiliarios.</w:t>
      </w:r>
    </w:p>
    <w:p w14:paraId="31271C48" w14:textId="77777777" w:rsidR="00817DB4" w:rsidRPr="009B4D5C" w:rsidRDefault="00817DB4" w:rsidP="00817DB4">
      <w:pPr>
        <w:jc w:val="both"/>
        <w:rPr>
          <w:sz w:val="22"/>
          <w:szCs w:val="22"/>
        </w:rPr>
      </w:pPr>
    </w:p>
    <w:p w14:paraId="4474B1F3" w14:textId="77777777" w:rsidR="00817DB4" w:rsidRPr="009B4D5C" w:rsidRDefault="00817DB4" w:rsidP="00817DB4">
      <w:pPr>
        <w:ind w:left="426"/>
        <w:jc w:val="both"/>
        <w:rPr>
          <w:i/>
          <w:iCs/>
          <w:sz w:val="22"/>
          <w:szCs w:val="22"/>
        </w:rPr>
      </w:pPr>
      <w:r w:rsidRPr="009B4D5C">
        <w:rPr>
          <w:i/>
          <w:iCs/>
          <w:sz w:val="22"/>
          <w:szCs w:val="22"/>
        </w:rPr>
        <w:t>El riesgo sistémico puede surgir de las relaciones directas e indirectas entre las entidades dentro del sistema financiero. La interconexión de la entidad con otras entidades financieras incrementa la probabilidad de que esas otras entidades también enfrenten dificultades.</w:t>
      </w:r>
    </w:p>
    <w:p w14:paraId="4BDB8F2B" w14:textId="77777777" w:rsidR="00817DB4" w:rsidRPr="009B4D5C" w:rsidRDefault="00817DB4" w:rsidP="00817DB4">
      <w:pPr>
        <w:jc w:val="both"/>
        <w:rPr>
          <w:sz w:val="22"/>
          <w:szCs w:val="22"/>
        </w:rPr>
      </w:pPr>
    </w:p>
    <w:p w14:paraId="411040EF" w14:textId="77777777" w:rsidR="00817DB4" w:rsidRPr="009B4D5C" w:rsidRDefault="00817DB4" w:rsidP="00817DB4">
      <w:pPr>
        <w:tabs>
          <w:tab w:val="left" w:pos="426"/>
        </w:tabs>
        <w:jc w:val="both"/>
        <w:rPr>
          <w:b/>
          <w:bCs/>
          <w:i/>
          <w:iCs/>
          <w:sz w:val="22"/>
          <w:szCs w:val="22"/>
        </w:rPr>
      </w:pPr>
      <w:r w:rsidRPr="009B4D5C">
        <w:rPr>
          <w:b/>
          <w:bCs/>
          <w:i/>
          <w:iCs/>
          <w:sz w:val="22"/>
          <w:szCs w:val="22"/>
        </w:rPr>
        <w:lastRenderedPageBreak/>
        <w:t>3.</w:t>
      </w:r>
      <w:r w:rsidRPr="009B4D5C">
        <w:rPr>
          <w:b/>
          <w:bCs/>
          <w:i/>
          <w:iCs/>
          <w:sz w:val="22"/>
          <w:szCs w:val="22"/>
        </w:rPr>
        <w:tab/>
        <w:t>Grado de sustitución.</w:t>
      </w:r>
    </w:p>
    <w:p w14:paraId="2797E246" w14:textId="77777777" w:rsidR="00817DB4" w:rsidRPr="009B4D5C" w:rsidRDefault="00817DB4" w:rsidP="00817DB4">
      <w:pPr>
        <w:jc w:val="both"/>
        <w:rPr>
          <w:sz w:val="22"/>
          <w:szCs w:val="22"/>
        </w:rPr>
      </w:pPr>
    </w:p>
    <w:p w14:paraId="08D05BEB" w14:textId="77777777" w:rsidR="00817DB4" w:rsidRPr="009B4D5C" w:rsidRDefault="00817DB4" w:rsidP="00817DB4">
      <w:pPr>
        <w:ind w:left="993" w:hanging="567"/>
        <w:jc w:val="both"/>
        <w:rPr>
          <w:i/>
          <w:iCs/>
          <w:sz w:val="22"/>
          <w:szCs w:val="22"/>
        </w:rPr>
      </w:pPr>
      <w:r w:rsidRPr="009B4D5C">
        <w:rPr>
          <w:i/>
          <w:iCs/>
          <w:sz w:val="22"/>
          <w:szCs w:val="22"/>
        </w:rPr>
        <w:t>A.</w:t>
      </w:r>
      <w:r w:rsidRPr="009B4D5C">
        <w:rPr>
          <w:i/>
          <w:iCs/>
          <w:sz w:val="22"/>
          <w:szCs w:val="22"/>
        </w:rPr>
        <w:tab/>
        <w:t>Para los puestos de bolsa, la dimensión “grado de sustitución” corresponde al monto de la custodia total.</w:t>
      </w:r>
    </w:p>
    <w:p w14:paraId="3C62FA99" w14:textId="77777777" w:rsidR="00817DB4" w:rsidRPr="009B4D5C" w:rsidRDefault="00817DB4" w:rsidP="00817DB4">
      <w:pPr>
        <w:jc w:val="both"/>
        <w:rPr>
          <w:sz w:val="22"/>
          <w:szCs w:val="22"/>
        </w:rPr>
      </w:pPr>
    </w:p>
    <w:p w14:paraId="3C348A36" w14:textId="77777777" w:rsidR="00817DB4" w:rsidRPr="009B4D5C" w:rsidRDefault="00817DB4" w:rsidP="00817DB4">
      <w:pPr>
        <w:ind w:left="993" w:hanging="567"/>
        <w:jc w:val="both"/>
        <w:rPr>
          <w:i/>
          <w:iCs/>
          <w:sz w:val="22"/>
          <w:szCs w:val="22"/>
        </w:rPr>
      </w:pPr>
      <w:r w:rsidRPr="009B4D5C">
        <w:rPr>
          <w:i/>
          <w:iCs/>
          <w:sz w:val="22"/>
          <w:szCs w:val="22"/>
        </w:rPr>
        <w:t>B.</w:t>
      </w:r>
      <w:r w:rsidRPr="009B4D5C">
        <w:rPr>
          <w:i/>
          <w:iCs/>
          <w:sz w:val="22"/>
          <w:szCs w:val="22"/>
        </w:rPr>
        <w:tab/>
        <w:t>Para las Sociedades Administradoras de Fondos de Inversión, la dimensión “grado de sustitución” corresponde al activo neto del fondo de inversión del mercado de dinero en relación con el tamaño del mercado.</w:t>
      </w:r>
    </w:p>
    <w:p w14:paraId="46A71029" w14:textId="77777777" w:rsidR="00817DB4" w:rsidRPr="009B4D5C" w:rsidRDefault="00817DB4" w:rsidP="00817DB4">
      <w:pPr>
        <w:jc w:val="both"/>
        <w:rPr>
          <w:sz w:val="22"/>
          <w:szCs w:val="22"/>
        </w:rPr>
      </w:pPr>
    </w:p>
    <w:p w14:paraId="1223C6DF" w14:textId="77777777" w:rsidR="00817DB4" w:rsidRPr="009B4D5C" w:rsidRDefault="00817DB4" w:rsidP="00817DB4">
      <w:pPr>
        <w:ind w:left="426"/>
        <w:jc w:val="both"/>
        <w:rPr>
          <w:i/>
          <w:iCs/>
          <w:sz w:val="22"/>
          <w:szCs w:val="22"/>
        </w:rPr>
      </w:pPr>
      <w:r w:rsidRPr="009B4D5C">
        <w:rPr>
          <w:i/>
          <w:iCs/>
          <w:sz w:val="22"/>
          <w:szCs w:val="22"/>
        </w:rPr>
        <w:t>La importancia sistémica de una entidad financiera, en caso de que presente dificultades o quiebra, aumenta cuando es difícil para otras entidades del sistema financiero proporcionar los mismos servicios o similares en una línea de negocios o segmento particular en el mercado. De forma que, entre mayor sea la importancia de la entidad en una determinada línea de negocio, mayores implicaciones tendrá en términos de deficiencia de servicios o de menor flujo de liquidez en el mercado.</w:t>
      </w:r>
    </w:p>
    <w:p w14:paraId="0191018D" w14:textId="77777777" w:rsidR="00817DB4" w:rsidRPr="009B4D5C" w:rsidRDefault="00817DB4" w:rsidP="00817DB4">
      <w:pPr>
        <w:jc w:val="both"/>
        <w:rPr>
          <w:sz w:val="22"/>
          <w:szCs w:val="22"/>
        </w:rPr>
      </w:pPr>
    </w:p>
    <w:p w14:paraId="32F53BF7" w14:textId="77777777" w:rsidR="00817DB4" w:rsidRPr="009B4D5C" w:rsidRDefault="00817DB4" w:rsidP="00817DB4">
      <w:pPr>
        <w:tabs>
          <w:tab w:val="left" w:pos="426"/>
        </w:tabs>
        <w:jc w:val="both"/>
        <w:rPr>
          <w:b/>
          <w:bCs/>
          <w:i/>
          <w:iCs/>
          <w:sz w:val="22"/>
          <w:szCs w:val="22"/>
        </w:rPr>
      </w:pPr>
      <w:r w:rsidRPr="009B4D5C">
        <w:rPr>
          <w:b/>
          <w:bCs/>
          <w:i/>
          <w:iCs/>
          <w:sz w:val="22"/>
          <w:szCs w:val="22"/>
        </w:rPr>
        <w:t>4.</w:t>
      </w:r>
      <w:r w:rsidRPr="009B4D5C">
        <w:rPr>
          <w:b/>
          <w:bCs/>
          <w:i/>
          <w:iCs/>
          <w:sz w:val="22"/>
          <w:szCs w:val="22"/>
        </w:rPr>
        <w:tab/>
        <w:t xml:space="preserve">Complejidad. </w:t>
      </w:r>
    </w:p>
    <w:p w14:paraId="050A3FFD" w14:textId="77777777" w:rsidR="00817DB4" w:rsidRPr="009B4D5C" w:rsidRDefault="00817DB4" w:rsidP="00817DB4">
      <w:pPr>
        <w:jc w:val="both"/>
        <w:rPr>
          <w:sz w:val="22"/>
          <w:szCs w:val="22"/>
        </w:rPr>
      </w:pPr>
    </w:p>
    <w:p w14:paraId="75456FF0" w14:textId="77777777" w:rsidR="00817DB4" w:rsidRPr="009B4D5C" w:rsidRDefault="00817DB4" w:rsidP="00817DB4">
      <w:pPr>
        <w:ind w:left="993" w:hanging="567"/>
        <w:jc w:val="both"/>
        <w:rPr>
          <w:i/>
          <w:iCs/>
          <w:sz w:val="22"/>
          <w:szCs w:val="22"/>
        </w:rPr>
      </w:pPr>
      <w:r w:rsidRPr="009B4D5C">
        <w:rPr>
          <w:i/>
          <w:iCs/>
          <w:sz w:val="22"/>
          <w:szCs w:val="22"/>
        </w:rPr>
        <w:t>A.</w:t>
      </w:r>
      <w:r w:rsidRPr="009B4D5C">
        <w:rPr>
          <w:i/>
          <w:iCs/>
          <w:sz w:val="22"/>
          <w:szCs w:val="22"/>
        </w:rPr>
        <w:tab/>
        <w:t>Para los puestos de bolsa, la dimensión “complejidad” corresponde a la participación relativa de la cantidad de emisiones con nivel mínimo y bajo según el índice de bursatilidad de la Bolsa Nacional de Valores, en relación con el total de emisiones en la cartera de los puestos.</w:t>
      </w:r>
    </w:p>
    <w:p w14:paraId="03E43407" w14:textId="77777777" w:rsidR="00817DB4" w:rsidRPr="009B4D5C" w:rsidRDefault="00817DB4" w:rsidP="00817DB4">
      <w:pPr>
        <w:ind w:left="993" w:hanging="567"/>
        <w:jc w:val="both"/>
        <w:rPr>
          <w:i/>
          <w:iCs/>
          <w:sz w:val="22"/>
          <w:szCs w:val="22"/>
        </w:rPr>
      </w:pPr>
    </w:p>
    <w:p w14:paraId="64ACA6B7" w14:textId="77777777" w:rsidR="00817DB4" w:rsidRPr="009B4D5C" w:rsidRDefault="00817DB4" w:rsidP="00817DB4">
      <w:pPr>
        <w:ind w:left="993" w:hanging="567"/>
        <w:jc w:val="both"/>
        <w:rPr>
          <w:i/>
          <w:iCs/>
          <w:sz w:val="22"/>
          <w:szCs w:val="22"/>
        </w:rPr>
      </w:pPr>
      <w:r w:rsidRPr="009B4D5C">
        <w:rPr>
          <w:i/>
          <w:iCs/>
          <w:sz w:val="22"/>
          <w:szCs w:val="22"/>
        </w:rPr>
        <w:t>B.</w:t>
      </w:r>
      <w:r w:rsidRPr="009B4D5C">
        <w:rPr>
          <w:i/>
          <w:iCs/>
          <w:sz w:val="22"/>
          <w:szCs w:val="22"/>
        </w:rPr>
        <w:tab/>
        <w:t>Para las Sociedades Administradoras de Fondos de Inversión, la dimensión “complejidad” corresponde al valor de las inversiones en reportos y reportos tripartitos, en los que el emisor del subyacente es diferente del Gobierno de Costa Rica y del Banco Central de Costa Rica.</w:t>
      </w:r>
    </w:p>
    <w:p w14:paraId="4E84A0D5" w14:textId="77777777" w:rsidR="00817DB4" w:rsidRPr="009B4D5C" w:rsidRDefault="00817DB4" w:rsidP="00817DB4">
      <w:pPr>
        <w:jc w:val="both"/>
        <w:rPr>
          <w:sz w:val="22"/>
          <w:szCs w:val="22"/>
        </w:rPr>
      </w:pPr>
    </w:p>
    <w:p w14:paraId="511AE9DD" w14:textId="77777777" w:rsidR="00817DB4" w:rsidRPr="009B4D5C" w:rsidRDefault="00817DB4" w:rsidP="00817DB4">
      <w:pPr>
        <w:ind w:left="426"/>
        <w:jc w:val="both"/>
        <w:rPr>
          <w:i/>
          <w:iCs/>
          <w:sz w:val="22"/>
          <w:szCs w:val="22"/>
        </w:rPr>
      </w:pPr>
      <w:r w:rsidRPr="009B4D5C">
        <w:rPr>
          <w:i/>
          <w:iCs/>
          <w:sz w:val="22"/>
          <w:szCs w:val="22"/>
        </w:rPr>
        <w:t>La complejidad de una entidad financiera sistémica incrementa el coste y el tiempo que se requieren para su resolución, en caso de que ésta entre en crisis.</w:t>
      </w:r>
    </w:p>
    <w:p w14:paraId="108A9F00" w14:textId="77777777" w:rsidR="00817DB4" w:rsidRPr="009B4D5C" w:rsidRDefault="00817DB4" w:rsidP="00817DB4">
      <w:pPr>
        <w:jc w:val="both"/>
        <w:rPr>
          <w:sz w:val="22"/>
          <w:szCs w:val="22"/>
        </w:rPr>
      </w:pPr>
    </w:p>
    <w:p w14:paraId="31028311" w14:textId="77777777" w:rsidR="00817DB4" w:rsidRPr="009B4D5C" w:rsidRDefault="00817DB4" w:rsidP="00817DB4">
      <w:pPr>
        <w:tabs>
          <w:tab w:val="left" w:pos="426"/>
        </w:tabs>
        <w:jc w:val="both"/>
        <w:rPr>
          <w:b/>
          <w:bCs/>
          <w:i/>
          <w:iCs/>
          <w:sz w:val="22"/>
          <w:szCs w:val="22"/>
        </w:rPr>
      </w:pPr>
      <w:r w:rsidRPr="009B4D5C">
        <w:rPr>
          <w:b/>
          <w:bCs/>
          <w:i/>
          <w:iCs/>
          <w:sz w:val="22"/>
          <w:szCs w:val="22"/>
        </w:rPr>
        <w:t>5.</w:t>
      </w:r>
      <w:r w:rsidRPr="009B4D5C">
        <w:rPr>
          <w:b/>
          <w:bCs/>
          <w:i/>
          <w:iCs/>
          <w:sz w:val="22"/>
          <w:szCs w:val="22"/>
        </w:rPr>
        <w:tab/>
        <w:t>Concentración.</w:t>
      </w:r>
    </w:p>
    <w:p w14:paraId="486AE244" w14:textId="77777777" w:rsidR="00817DB4" w:rsidRPr="009B4D5C" w:rsidRDefault="00817DB4" w:rsidP="00817DB4">
      <w:pPr>
        <w:jc w:val="both"/>
        <w:rPr>
          <w:sz w:val="22"/>
          <w:szCs w:val="22"/>
        </w:rPr>
      </w:pPr>
    </w:p>
    <w:p w14:paraId="4777224B" w14:textId="77777777" w:rsidR="00817DB4" w:rsidRPr="009B4D5C" w:rsidRDefault="00817DB4" w:rsidP="00817DB4">
      <w:pPr>
        <w:ind w:left="993" w:hanging="567"/>
        <w:jc w:val="both"/>
        <w:rPr>
          <w:i/>
          <w:iCs/>
          <w:sz w:val="22"/>
          <w:szCs w:val="22"/>
        </w:rPr>
      </w:pPr>
      <w:r w:rsidRPr="009B4D5C">
        <w:rPr>
          <w:i/>
          <w:iCs/>
          <w:sz w:val="22"/>
          <w:szCs w:val="22"/>
        </w:rPr>
        <w:t>A.</w:t>
      </w:r>
      <w:r w:rsidRPr="009B4D5C">
        <w:rPr>
          <w:i/>
          <w:iCs/>
          <w:sz w:val="22"/>
          <w:szCs w:val="22"/>
        </w:rPr>
        <w:tab/>
        <w:t xml:space="preserve">Para los puestos de bolsa, la dimensión “concentración” corresponde al valor del índice </w:t>
      </w:r>
      <w:proofErr w:type="spellStart"/>
      <w:r w:rsidRPr="009B4D5C">
        <w:rPr>
          <w:i/>
          <w:iCs/>
          <w:sz w:val="22"/>
          <w:szCs w:val="22"/>
        </w:rPr>
        <w:t>Herfindahl</w:t>
      </w:r>
      <w:proofErr w:type="spellEnd"/>
      <w:r w:rsidRPr="009B4D5C">
        <w:rPr>
          <w:i/>
          <w:iCs/>
          <w:sz w:val="22"/>
          <w:szCs w:val="22"/>
        </w:rPr>
        <w:t>–</w:t>
      </w:r>
      <w:proofErr w:type="spellStart"/>
      <w:r w:rsidRPr="009B4D5C">
        <w:rPr>
          <w:i/>
          <w:iCs/>
          <w:sz w:val="22"/>
          <w:szCs w:val="22"/>
        </w:rPr>
        <w:t>Hirschman</w:t>
      </w:r>
      <w:proofErr w:type="spellEnd"/>
      <w:r w:rsidRPr="009B4D5C">
        <w:rPr>
          <w:i/>
          <w:iCs/>
          <w:sz w:val="22"/>
          <w:szCs w:val="22"/>
        </w:rPr>
        <w:t xml:space="preserve"> de la tenencia de valores emitidos por Gobierno en la cartera propia.</w:t>
      </w:r>
    </w:p>
    <w:p w14:paraId="406B7E0C" w14:textId="77777777" w:rsidR="00817DB4" w:rsidRPr="009B4D5C" w:rsidRDefault="00817DB4" w:rsidP="00817DB4">
      <w:pPr>
        <w:ind w:left="993" w:hanging="567"/>
        <w:jc w:val="both"/>
        <w:rPr>
          <w:i/>
          <w:iCs/>
          <w:sz w:val="22"/>
          <w:szCs w:val="22"/>
        </w:rPr>
      </w:pPr>
    </w:p>
    <w:p w14:paraId="76CF744A" w14:textId="77777777" w:rsidR="00817DB4" w:rsidRPr="009B4D5C" w:rsidRDefault="00817DB4" w:rsidP="00817DB4">
      <w:pPr>
        <w:ind w:left="993" w:hanging="567"/>
        <w:jc w:val="both"/>
        <w:rPr>
          <w:i/>
          <w:iCs/>
          <w:sz w:val="22"/>
          <w:szCs w:val="22"/>
        </w:rPr>
      </w:pPr>
      <w:r w:rsidRPr="009B4D5C">
        <w:rPr>
          <w:i/>
          <w:iCs/>
          <w:sz w:val="22"/>
          <w:szCs w:val="22"/>
        </w:rPr>
        <w:t>B.</w:t>
      </w:r>
      <w:r w:rsidRPr="009B4D5C">
        <w:rPr>
          <w:i/>
          <w:iCs/>
          <w:sz w:val="22"/>
          <w:szCs w:val="22"/>
        </w:rPr>
        <w:tab/>
        <w:t>Para las Sociedades Administradoras de Fondos de Inversión, la dimensión “concentración” corresponde al monto total de los pasivos de los fondos de inversión del mercado de dinero bajo su responsabilidad.</w:t>
      </w:r>
    </w:p>
    <w:p w14:paraId="0FAD243C" w14:textId="77777777" w:rsidR="00817DB4" w:rsidRPr="009B4D5C" w:rsidRDefault="00817DB4" w:rsidP="00817DB4">
      <w:pPr>
        <w:ind w:left="993" w:hanging="567"/>
        <w:jc w:val="both"/>
        <w:rPr>
          <w:i/>
          <w:iCs/>
          <w:sz w:val="22"/>
          <w:szCs w:val="22"/>
        </w:rPr>
      </w:pPr>
    </w:p>
    <w:p w14:paraId="0053D443" w14:textId="77777777" w:rsidR="00817DB4" w:rsidRPr="009B4D5C" w:rsidRDefault="00817DB4" w:rsidP="00817DB4">
      <w:pPr>
        <w:ind w:left="426"/>
        <w:jc w:val="both"/>
        <w:rPr>
          <w:i/>
          <w:iCs/>
          <w:sz w:val="22"/>
          <w:szCs w:val="22"/>
        </w:rPr>
      </w:pPr>
      <w:r w:rsidRPr="009B4D5C">
        <w:rPr>
          <w:i/>
          <w:iCs/>
          <w:sz w:val="22"/>
          <w:szCs w:val="22"/>
        </w:rPr>
        <w:t xml:space="preserve">Existe riesgo sistémico cuando las entidades financieras están expuestas a los mismos riesgos o a riesgos similares.  Se debe valorar la concentración de activos en una cartera o portafolio de inversión que la entidad financiera administre.   </w:t>
      </w:r>
    </w:p>
    <w:p w14:paraId="2B02C63D" w14:textId="77777777" w:rsidR="00817DB4" w:rsidRPr="009B4D5C" w:rsidRDefault="00817DB4" w:rsidP="00817DB4">
      <w:pPr>
        <w:jc w:val="both"/>
        <w:rPr>
          <w:sz w:val="22"/>
          <w:szCs w:val="22"/>
        </w:rPr>
      </w:pPr>
    </w:p>
    <w:p w14:paraId="247BD8F9" w14:textId="77777777" w:rsidR="00817DB4" w:rsidRPr="009B4D5C" w:rsidRDefault="00817DB4" w:rsidP="00817DB4">
      <w:pPr>
        <w:tabs>
          <w:tab w:val="left" w:pos="426"/>
        </w:tabs>
        <w:jc w:val="both"/>
        <w:rPr>
          <w:b/>
          <w:bCs/>
          <w:i/>
          <w:iCs/>
          <w:sz w:val="22"/>
          <w:szCs w:val="22"/>
        </w:rPr>
      </w:pPr>
      <w:r w:rsidRPr="009B4D5C">
        <w:rPr>
          <w:b/>
          <w:bCs/>
          <w:i/>
          <w:iCs/>
          <w:sz w:val="22"/>
          <w:szCs w:val="22"/>
        </w:rPr>
        <w:t>6.</w:t>
      </w:r>
      <w:r w:rsidRPr="009B4D5C">
        <w:rPr>
          <w:b/>
          <w:bCs/>
          <w:i/>
          <w:iCs/>
          <w:sz w:val="22"/>
          <w:szCs w:val="22"/>
        </w:rPr>
        <w:tab/>
        <w:t>Incentivos.</w:t>
      </w:r>
    </w:p>
    <w:p w14:paraId="3E3F7CE8" w14:textId="77777777" w:rsidR="00817DB4" w:rsidRPr="009B4D5C" w:rsidRDefault="00817DB4" w:rsidP="00817DB4">
      <w:pPr>
        <w:jc w:val="both"/>
        <w:rPr>
          <w:sz w:val="22"/>
          <w:szCs w:val="22"/>
        </w:rPr>
      </w:pPr>
    </w:p>
    <w:p w14:paraId="24A7AFD1" w14:textId="77777777" w:rsidR="00817DB4" w:rsidRPr="009B4D5C" w:rsidRDefault="00817DB4" w:rsidP="00817DB4">
      <w:pPr>
        <w:jc w:val="both"/>
        <w:rPr>
          <w:i/>
          <w:iCs/>
          <w:sz w:val="22"/>
          <w:szCs w:val="22"/>
        </w:rPr>
      </w:pPr>
      <w:r w:rsidRPr="009B4D5C">
        <w:rPr>
          <w:i/>
          <w:iCs/>
          <w:sz w:val="22"/>
          <w:szCs w:val="22"/>
        </w:rPr>
        <w:t>Para los puestos de bolsa, la dimensión ‘Incentivos’ se mide en función de los siguientes indicadores:</w:t>
      </w:r>
    </w:p>
    <w:p w14:paraId="5010AF1B" w14:textId="77777777" w:rsidR="00817DB4" w:rsidRPr="009B4D5C" w:rsidRDefault="00817DB4" w:rsidP="00817DB4">
      <w:pPr>
        <w:jc w:val="both"/>
        <w:rPr>
          <w:sz w:val="22"/>
          <w:szCs w:val="22"/>
        </w:rPr>
      </w:pPr>
    </w:p>
    <w:p w14:paraId="2B1A71E8" w14:textId="77777777" w:rsidR="00817DB4" w:rsidRPr="009B4D5C" w:rsidRDefault="00817DB4" w:rsidP="00817DB4">
      <w:pPr>
        <w:ind w:left="708" w:hanging="282"/>
        <w:jc w:val="both"/>
        <w:rPr>
          <w:i/>
          <w:iCs/>
          <w:sz w:val="22"/>
          <w:szCs w:val="22"/>
        </w:rPr>
      </w:pPr>
      <w:r w:rsidRPr="009B4D5C">
        <w:rPr>
          <w:i/>
          <w:iCs/>
          <w:sz w:val="22"/>
          <w:szCs w:val="22"/>
        </w:rPr>
        <w:lastRenderedPageBreak/>
        <w:t>a.</w:t>
      </w:r>
      <w:r w:rsidRPr="009B4D5C">
        <w:rPr>
          <w:i/>
          <w:iCs/>
          <w:sz w:val="22"/>
          <w:szCs w:val="22"/>
        </w:rPr>
        <w:tab/>
        <w:t>Comisiones por gestión de carteras individuales.</w:t>
      </w:r>
    </w:p>
    <w:p w14:paraId="3090959E" w14:textId="77777777" w:rsidR="00817DB4" w:rsidRPr="009B4D5C" w:rsidRDefault="00817DB4" w:rsidP="00817DB4">
      <w:pPr>
        <w:ind w:left="708" w:hanging="282"/>
        <w:jc w:val="both"/>
        <w:rPr>
          <w:i/>
          <w:iCs/>
          <w:sz w:val="22"/>
          <w:szCs w:val="22"/>
        </w:rPr>
      </w:pPr>
      <w:r w:rsidRPr="009B4D5C">
        <w:rPr>
          <w:i/>
          <w:iCs/>
          <w:sz w:val="22"/>
          <w:szCs w:val="22"/>
        </w:rPr>
        <w:t>b.</w:t>
      </w:r>
      <w:r w:rsidRPr="009B4D5C">
        <w:rPr>
          <w:i/>
          <w:iCs/>
          <w:sz w:val="22"/>
          <w:szCs w:val="22"/>
        </w:rPr>
        <w:tab/>
        <w:t>Comisiones por ejecución y trasmisión de órdenes.</w:t>
      </w:r>
    </w:p>
    <w:p w14:paraId="35C89B0D" w14:textId="77777777" w:rsidR="00817DB4" w:rsidRPr="009B4D5C" w:rsidRDefault="00817DB4" w:rsidP="00817DB4">
      <w:pPr>
        <w:ind w:left="708" w:hanging="282"/>
        <w:jc w:val="both"/>
        <w:rPr>
          <w:i/>
          <w:iCs/>
          <w:sz w:val="22"/>
          <w:szCs w:val="22"/>
        </w:rPr>
      </w:pPr>
      <w:r w:rsidRPr="009B4D5C">
        <w:rPr>
          <w:i/>
          <w:iCs/>
          <w:sz w:val="22"/>
          <w:szCs w:val="22"/>
        </w:rPr>
        <w:t>c.</w:t>
      </w:r>
      <w:r w:rsidRPr="009B4D5C">
        <w:rPr>
          <w:i/>
          <w:iCs/>
          <w:sz w:val="22"/>
          <w:szCs w:val="22"/>
        </w:rPr>
        <w:tab/>
        <w:t>Comisiones por asesoría de inversión.</w:t>
      </w:r>
    </w:p>
    <w:p w14:paraId="6BF11497" w14:textId="77777777" w:rsidR="00817DB4" w:rsidRPr="009B4D5C" w:rsidRDefault="00817DB4" w:rsidP="00817DB4">
      <w:pPr>
        <w:ind w:left="708" w:hanging="282"/>
        <w:jc w:val="both"/>
        <w:rPr>
          <w:i/>
          <w:iCs/>
          <w:sz w:val="22"/>
          <w:szCs w:val="22"/>
        </w:rPr>
      </w:pPr>
      <w:r w:rsidRPr="009B4D5C">
        <w:rPr>
          <w:i/>
          <w:iCs/>
          <w:sz w:val="22"/>
          <w:szCs w:val="22"/>
        </w:rPr>
        <w:t>d.</w:t>
      </w:r>
      <w:r w:rsidRPr="009B4D5C">
        <w:rPr>
          <w:i/>
          <w:iCs/>
          <w:sz w:val="22"/>
          <w:szCs w:val="22"/>
        </w:rPr>
        <w:tab/>
        <w:t>Comisiones por servicio de custodia.</w:t>
      </w:r>
    </w:p>
    <w:p w14:paraId="1AAFE104" w14:textId="77777777" w:rsidR="00817DB4" w:rsidRPr="009B4D5C" w:rsidRDefault="00817DB4" w:rsidP="00817DB4">
      <w:pPr>
        <w:jc w:val="both"/>
        <w:rPr>
          <w:sz w:val="22"/>
          <w:szCs w:val="22"/>
        </w:rPr>
      </w:pPr>
    </w:p>
    <w:p w14:paraId="6858092D" w14:textId="77777777" w:rsidR="00817DB4" w:rsidRPr="009B4D5C" w:rsidRDefault="00817DB4" w:rsidP="00817DB4">
      <w:pPr>
        <w:jc w:val="both"/>
        <w:rPr>
          <w:i/>
          <w:iCs/>
          <w:sz w:val="22"/>
          <w:szCs w:val="22"/>
        </w:rPr>
      </w:pPr>
      <w:r w:rsidRPr="009B4D5C">
        <w:rPr>
          <w:i/>
          <w:iCs/>
          <w:sz w:val="22"/>
          <w:szCs w:val="22"/>
        </w:rPr>
        <w:t xml:space="preserve">La estructura de incentivos de una entidad, en relación con sus líneas de negocio y productos, puede promover un impacto sistémico en el mercado de valores. Un modelo de compensación debe evitar incentivos que potencialicen la acumulación de riesgos por el reconocimiento de remuneraciones y comisiones.    </w:t>
      </w:r>
    </w:p>
    <w:p w14:paraId="1465026E" w14:textId="77777777" w:rsidR="00817DB4" w:rsidRPr="009B4D5C" w:rsidRDefault="00817DB4" w:rsidP="00817DB4">
      <w:pPr>
        <w:jc w:val="both"/>
        <w:rPr>
          <w:sz w:val="22"/>
          <w:szCs w:val="22"/>
        </w:rPr>
      </w:pPr>
    </w:p>
    <w:p w14:paraId="021AEBD7" w14:textId="77777777" w:rsidR="00817DB4" w:rsidRPr="009B4D5C" w:rsidRDefault="00817DB4" w:rsidP="00817DB4">
      <w:pPr>
        <w:jc w:val="both"/>
        <w:rPr>
          <w:sz w:val="22"/>
          <w:szCs w:val="22"/>
        </w:rPr>
      </w:pPr>
    </w:p>
    <w:p w14:paraId="5DD63B38" w14:textId="77777777" w:rsidR="00817DB4" w:rsidRPr="009B4D5C" w:rsidRDefault="00817DB4" w:rsidP="00817DB4">
      <w:pPr>
        <w:jc w:val="both"/>
        <w:rPr>
          <w:b/>
          <w:bCs/>
          <w:i/>
          <w:iCs/>
          <w:sz w:val="22"/>
          <w:szCs w:val="22"/>
        </w:rPr>
      </w:pPr>
      <w:r w:rsidRPr="009B4D5C">
        <w:rPr>
          <w:b/>
          <w:bCs/>
          <w:i/>
          <w:iCs/>
          <w:sz w:val="22"/>
          <w:szCs w:val="22"/>
        </w:rPr>
        <w:t>Artículo 9. Pesos de las dimensiones e indicadores para el cálculo del Índice Sistémico.</w:t>
      </w:r>
    </w:p>
    <w:p w14:paraId="7EAAC250" w14:textId="77777777" w:rsidR="00817DB4" w:rsidRPr="009B4D5C" w:rsidRDefault="00817DB4" w:rsidP="00817DB4">
      <w:pPr>
        <w:jc w:val="both"/>
        <w:rPr>
          <w:sz w:val="22"/>
          <w:szCs w:val="22"/>
        </w:rPr>
      </w:pPr>
    </w:p>
    <w:p w14:paraId="77ED6847" w14:textId="77777777" w:rsidR="00817DB4" w:rsidRPr="009B4D5C" w:rsidRDefault="00817DB4" w:rsidP="00817DB4">
      <w:pPr>
        <w:jc w:val="both"/>
        <w:rPr>
          <w:i/>
          <w:iCs/>
          <w:sz w:val="22"/>
          <w:szCs w:val="22"/>
        </w:rPr>
      </w:pPr>
      <w:r w:rsidRPr="009B4D5C">
        <w:rPr>
          <w:i/>
          <w:iCs/>
          <w:sz w:val="22"/>
          <w:szCs w:val="22"/>
        </w:rPr>
        <w:t>Las siguientes tablas muestran cada una de las dimensiones para la identificación de entidades de importancia sistémica, así como el indicador y el peso correspondiente.</w:t>
      </w:r>
    </w:p>
    <w:p w14:paraId="69C65750" w14:textId="77777777" w:rsidR="00817DB4" w:rsidRPr="009B4D5C" w:rsidRDefault="00817DB4" w:rsidP="00817DB4">
      <w:pPr>
        <w:jc w:val="both"/>
        <w:rPr>
          <w:sz w:val="22"/>
          <w:szCs w:val="22"/>
        </w:rPr>
      </w:pPr>
    </w:p>
    <w:tbl>
      <w:tblPr>
        <w:tblW w:w="8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1685"/>
        <w:gridCol w:w="2454"/>
        <w:gridCol w:w="1248"/>
        <w:gridCol w:w="1342"/>
        <w:gridCol w:w="16"/>
      </w:tblGrid>
      <w:tr w:rsidR="00817DB4" w:rsidRPr="009B4D5C" w14:paraId="0AB45124" w14:textId="77777777" w:rsidTr="002F2BF6">
        <w:trPr>
          <w:trHeight w:val="20"/>
          <w:tblHeader/>
        </w:trPr>
        <w:tc>
          <w:tcPr>
            <w:tcW w:w="8867" w:type="dxa"/>
            <w:gridSpan w:val="6"/>
            <w:shd w:val="clear" w:color="auto" w:fill="1F3864" w:themeFill="accent1" w:themeFillShade="80"/>
            <w:noWrap/>
            <w:vAlign w:val="center"/>
            <w:hideMark/>
          </w:tcPr>
          <w:p w14:paraId="79108B13"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t>A. PUESTOS DE BOLSA</w:t>
            </w:r>
          </w:p>
        </w:tc>
      </w:tr>
      <w:tr w:rsidR="00817DB4" w:rsidRPr="009B4D5C" w14:paraId="768FD40D" w14:textId="77777777" w:rsidTr="002F2BF6">
        <w:trPr>
          <w:gridAfter w:val="1"/>
          <w:wAfter w:w="16" w:type="dxa"/>
          <w:trHeight w:val="20"/>
          <w:tblHeader/>
        </w:trPr>
        <w:tc>
          <w:tcPr>
            <w:tcW w:w="2122" w:type="dxa"/>
            <w:shd w:val="clear" w:color="auto" w:fill="1F3864" w:themeFill="accent1" w:themeFillShade="80"/>
            <w:vAlign w:val="center"/>
            <w:hideMark/>
          </w:tcPr>
          <w:p w14:paraId="429981A8"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t>Actividad</w:t>
            </w:r>
          </w:p>
        </w:tc>
        <w:tc>
          <w:tcPr>
            <w:tcW w:w="1685" w:type="dxa"/>
            <w:shd w:val="clear" w:color="auto" w:fill="1F3864" w:themeFill="accent1" w:themeFillShade="80"/>
            <w:noWrap/>
            <w:vAlign w:val="center"/>
            <w:hideMark/>
          </w:tcPr>
          <w:p w14:paraId="160FF0FC"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t>Dimensión</w:t>
            </w:r>
          </w:p>
        </w:tc>
        <w:tc>
          <w:tcPr>
            <w:tcW w:w="2454" w:type="dxa"/>
            <w:shd w:val="clear" w:color="auto" w:fill="1F3864" w:themeFill="accent1" w:themeFillShade="80"/>
            <w:vAlign w:val="center"/>
            <w:hideMark/>
          </w:tcPr>
          <w:p w14:paraId="7C9CBD0C"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t>Indicador</w:t>
            </w:r>
          </w:p>
        </w:tc>
        <w:tc>
          <w:tcPr>
            <w:tcW w:w="1248" w:type="dxa"/>
            <w:shd w:val="clear" w:color="auto" w:fill="1F3864" w:themeFill="accent1" w:themeFillShade="80"/>
            <w:noWrap/>
            <w:hideMark/>
          </w:tcPr>
          <w:p w14:paraId="240D7CD5"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t>Ponderador</w:t>
            </w:r>
          </w:p>
          <w:p w14:paraId="347ABA71"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t>Dimensión</w:t>
            </w:r>
          </w:p>
        </w:tc>
        <w:tc>
          <w:tcPr>
            <w:tcW w:w="1342" w:type="dxa"/>
            <w:shd w:val="clear" w:color="auto" w:fill="1F3864" w:themeFill="accent1" w:themeFillShade="80"/>
            <w:noWrap/>
            <w:vAlign w:val="center"/>
            <w:hideMark/>
          </w:tcPr>
          <w:p w14:paraId="634F4A54"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t>Ponderador</w:t>
            </w:r>
          </w:p>
          <w:p w14:paraId="73E36B14"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t>Indicador</w:t>
            </w:r>
          </w:p>
        </w:tc>
      </w:tr>
      <w:tr w:rsidR="00817DB4" w:rsidRPr="009B4D5C" w14:paraId="0B55C3DE" w14:textId="77777777" w:rsidTr="002F2BF6">
        <w:trPr>
          <w:gridAfter w:val="1"/>
          <w:wAfter w:w="16" w:type="dxa"/>
          <w:trHeight w:val="20"/>
        </w:trPr>
        <w:tc>
          <w:tcPr>
            <w:tcW w:w="2122" w:type="dxa"/>
            <w:shd w:val="clear" w:color="000000" w:fill="FFFFFF"/>
            <w:vAlign w:val="center"/>
            <w:hideMark/>
          </w:tcPr>
          <w:p w14:paraId="06C6E53F" w14:textId="77777777" w:rsidR="00817DB4" w:rsidRPr="009B4D5C" w:rsidRDefault="00817DB4" w:rsidP="00817DB4">
            <w:pPr>
              <w:jc w:val="center"/>
              <w:rPr>
                <w:i/>
                <w:iCs/>
                <w:sz w:val="22"/>
                <w:szCs w:val="22"/>
              </w:rPr>
            </w:pPr>
            <w:r w:rsidRPr="009B4D5C">
              <w:rPr>
                <w:i/>
                <w:iCs/>
                <w:sz w:val="22"/>
                <w:szCs w:val="22"/>
              </w:rPr>
              <w:t>Negociación por cuenta propia</w:t>
            </w:r>
          </w:p>
        </w:tc>
        <w:tc>
          <w:tcPr>
            <w:tcW w:w="1685" w:type="dxa"/>
            <w:shd w:val="clear" w:color="000000" w:fill="FFFFFF"/>
            <w:noWrap/>
            <w:vAlign w:val="center"/>
            <w:hideMark/>
          </w:tcPr>
          <w:p w14:paraId="1755525E" w14:textId="77777777" w:rsidR="00817DB4" w:rsidRPr="009B4D5C" w:rsidRDefault="00817DB4" w:rsidP="00817DB4">
            <w:pPr>
              <w:jc w:val="center"/>
              <w:rPr>
                <w:i/>
                <w:iCs/>
                <w:sz w:val="22"/>
                <w:szCs w:val="22"/>
              </w:rPr>
            </w:pPr>
            <w:r w:rsidRPr="009B4D5C">
              <w:rPr>
                <w:i/>
                <w:iCs/>
                <w:sz w:val="22"/>
                <w:szCs w:val="22"/>
              </w:rPr>
              <w:t>Tamaño</w:t>
            </w:r>
          </w:p>
        </w:tc>
        <w:tc>
          <w:tcPr>
            <w:tcW w:w="2454" w:type="dxa"/>
            <w:shd w:val="clear" w:color="000000" w:fill="FFFFFF"/>
            <w:vAlign w:val="center"/>
            <w:hideMark/>
          </w:tcPr>
          <w:p w14:paraId="3F45A7A1" w14:textId="77777777" w:rsidR="00817DB4" w:rsidRPr="009B4D5C" w:rsidRDefault="00817DB4" w:rsidP="00817DB4">
            <w:pPr>
              <w:jc w:val="center"/>
              <w:rPr>
                <w:i/>
                <w:iCs/>
                <w:sz w:val="22"/>
                <w:szCs w:val="22"/>
              </w:rPr>
            </w:pPr>
            <w:r w:rsidRPr="009B4D5C">
              <w:rPr>
                <w:i/>
                <w:iCs/>
                <w:sz w:val="22"/>
                <w:szCs w:val="22"/>
              </w:rPr>
              <w:t>Total de activos del balance</w:t>
            </w:r>
          </w:p>
        </w:tc>
        <w:tc>
          <w:tcPr>
            <w:tcW w:w="1248" w:type="dxa"/>
            <w:vMerge w:val="restart"/>
            <w:shd w:val="clear" w:color="000000" w:fill="FFFFFF"/>
            <w:vAlign w:val="center"/>
            <w:hideMark/>
          </w:tcPr>
          <w:p w14:paraId="6E3CB044" w14:textId="77777777" w:rsidR="00817DB4" w:rsidRPr="009B4D5C" w:rsidRDefault="00817DB4" w:rsidP="00817DB4">
            <w:pPr>
              <w:jc w:val="center"/>
              <w:rPr>
                <w:i/>
                <w:iCs/>
                <w:sz w:val="22"/>
                <w:szCs w:val="22"/>
              </w:rPr>
            </w:pPr>
            <w:r w:rsidRPr="009B4D5C">
              <w:rPr>
                <w:i/>
                <w:iCs/>
                <w:sz w:val="22"/>
                <w:szCs w:val="22"/>
              </w:rPr>
              <w:t>30%</w:t>
            </w:r>
          </w:p>
        </w:tc>
        <w:tc>
          <w:tcPr>
            <w:tcW w:w="1342" w:type="dxa"/>
            <w:shd w:val="clear" w:color="000000" w:fill="FFFFFF"/>
            <w:noWrap/>
            <w:vAlign w:val="center"/>
            <w:hideMark/>
          </w:tcPr>
          <w:p w14:paraId="2943064F" w14:textId="77777777" w:rsidR="00817DB4" w:rsidRPr="009B4D5C" w:rsidRDefault="00817DB4" w:rsidP="00817DB4">
            <w:pPr>
              <w:jc w:val="center"/>
              <w:rPr>
                <w:i/>
                <w:iCs/>
                <w:sz w:val="22"/>
                <w:szCs w:val="22"/>
              </w:rPr>
            </w:pPr>
            <w:r w:rsidRPr="009B4D5C">
              <w:rPr>
                <w:i/>
                <w:iCs/>
                <w:sz w:val="22"/>
                <w:szCs w:val="22"/>
              </w:rPr>
              <w:t>15%</w:t>
            </w:r>
          </w:p>
        </w:tc>
      </w:tr>
      <w:tr w:rsidR="00817DB4" w:rsidRPr="009B4D5C" w14:paraId="7F9E551A" w14:textId="77777777" w:rsidTr="002F2BF6">
        <w:trPr>
          <w:gridAfter w:val="1"/>
          <w:wAfter w:w="16" w:type="dxa"/>
          <w:trHeight w:val="20"/>
        </w:trPr>
        <w:tc>
          <w:tcPr>
            <w:tcW w:w="2122" w:type="dxa"/>
            <w:shd w:val="clear" w:color="000000" w:fill="FFFFFF"/>
            <w:vAlign w:val="center"/>
            <w:hideMark/>
          </w:tcPr>
          <w:p w14:paraId="7447D3D7" w14:textId="77777777" w:rsidR="00817DB4" w:rsidRPr="009B4D5C" w:rsidRDefault="00817DB4" w:rsidP="00817DB4">
            <w:pPr>
              <w:jc w:val="center"/>
              <w:rPr>
                <w:i/>
                <w:iCs/>
                <w:sz w:val="22"/>
                <w:szCs w:val="22"/>
              </w:rPr>
            </w:pPr>
            <w:r w:rsidRPr="009B4D5C">
              <w:rPr>
                <w:i/>
                <w:iCs/>
                <w:sz w:val="22"/>
                <w:szCs w:val="22"/>
              </w:rPr>
              <w:t>Gestión de portafolios</w:t>
            </w:r>
          </w:p>
        </w:tc>
        <w:tc>
          <w:tcPr>
            <w:tcW w:w="1685" w:type="dxa"/>
            <w:shd w:val="clear" w:color="000000" w:fill="FFFFFF"/>
            <w:noWrap/>
            <w:vAlign w:val="center"/>
            <w:hideMark/>
          </w:tcPr>
          <w:p w14:paraId="0296E827" w14:textId="77777777" w:rsidR="00817DB4" w:rsidRPr="009B4D5C" w:rsidRDefault="00817DB4" w:rsidP="00817DB4">
            <w:pPr>
              <w:jc w:val="center"/>
              <w:rPr>
                <w:i/>
                <w:iCs/>
                <w:sz w:val="22"/>
                <w:szCs w:val="22"/>
              </w:rPr>
            </w:pPr>
            <w:r w:rsidRPr="009B4D5C">
              <w:rPr>
                <w:i/>
                <w:iCs/>
                <w:sz w:val="22"/>
                <w:szCs w:val="22"/>
              </w:rPr>
              <w:t>Tamaño</w:t>
            </w:r>
          </w:p>
        </w:tc>
        <w:tc>
          <w:tcPr>
            <w:tcW w:w="2454" w:type="dxa"/>
            <w:shd w:val="clear" w:color="000000" w:fill="FFFFFF"/>
            <w:vAlign w:val="center"/>
            <w:hideMark/>
          </w:tcPr>
          <w:p w14:paraId="7254DC2F" w14:textId="77777777" w:rsidR="00817DB4" w:rsidRPr="009B4D5C" w:rsidRDefault="00817DB4" w:rsidP="00817DB4">
            <w:pPr>
              <w:jc w:val="center"/>
              <w:rPr>
                <w:i/>
                <w:iCs/>
                <w:sz w:val="22"/>
                <w:szCs w:val="22"/>
              </w:rPr>
            </w:pPr>
            <w:r w:rsidRPr="009B4D5C">
              <w:rPr>
                <w:i/>
                <w:iCs/>
                <w:sz w:val="22"/>
                <w:szCs w:val="22"/>
              </w:rPr>
              <w:t>Total activos en administración de carteras individuales</w:t>
            </w:r>
          </w:p>
        </w:tc>
        <w:tc>
          <w:tcPr>
            <w:tcW w:w="1248" w:type="dxa"/>
            <w:vMerge/>
            <w:vAlign w:val="center"/>
            <w:hideMark/>
          </w:tcPr>
          <w:p w14:paraId="3C8FE3DF" w14:textId="77777777" w:rsidR="00817DB4" w:rsidRPr="009B4D5C" w:rsidRDefault="00817DB4" w:rsidP="00817DB4">
            <w:pPr>
              <w:jc w:val="center"/>
              <w:rPr>
                <w:i/>
                <w:iCs/>
                <w:sz w:val="22"/>
                <w:szCs w:val="22"/>
              </w:rPr>
            </w:pPr>
          </w:p>
        </w:tc>
        <w:tc>
          <w:tcPr>
            <w:tcW w:w="1342" w:type="dxa"/>
            <w:shd w:val="clear" w:color="000000" w:fill="FFFFFF"/>
            <w:noWrap/>
            <w:vAlign w:val="center"/>
            <w:hideMark/>
          </w:tcPr>
          <w:p w14:paraId="7725C909" w14:textId="77777777" w:rsidR="00817DB4" w:rsidRPr="009B4D5C" w:rsidRDefault="00817DB4" w:rsidP="00817DB4">
            <w:pPr>
              <w:jc w:val="center"/>
              <w:rPr>
                <w:i/>
                <w:iCs/>
                <w:sz w:val="22"/>
                <w:szCs w:val="22"/>
              </w:rPr>
            </w:pPr>
            <w:r w:rsidRPr="009B4D5C">
              <w:rPr>
                <w:i/>
                <w:iCs/>
                <w:sz w:val="22"/>
                <w:szCs w:val="22"/>
              </w:rPr>
              <w:t>15%</w:t>
            </w:r>
          </w:p>
        </w:tc>
      </w:tr>
      <w:tr w:rsidR="00817DB4" w:rsidRPr="009B4D5C" w14:paraId="3FC7D608" w14:textId="77777777" w:rsidTr="002F2BF6">
        <w:trPr>
          <w:gridAfter w:val="1"/>
          <w:wAfter w:w="16" w:type="dxa"/>
          <w:trHeight w:val="20"/>
        </w:trPr>
        <w:tc>
          <w:tcPr>
            <w:tcW w:w="2122" w:type="dxa"/>
            <w:shd w:val="clear" w:color="000000" w:fill="FFFFFF"/>
            <w:vAlign w:val="center"/>
            <w:hideMark/>
          </w:tcPr>
          <w:p w14:paraId="7833C9F1" w14:textId="77777777" w:rsidR="00817DB4" w:rsidRPr="009B4D5C" w:rsidRDefault="00817DB4" w:rsidP="00817DB4">
            <w:pPr>
              <w:jc w:val="center"/>
              <w:rPr>
                <w:i/>
                <w:iCs/>
                <w:sz w:val="22"/>
                <w:szCs w:val="22"/>
              </w:rPr>
            </w:pPr>
            <w:r w:rsidRPr="009B4D5C">
              <w:rPr>
                <w:i/>
                <w:iCs/>
                <w:sz w:val="22"/>
                <w:szCs w:val="22"/>
              </w:rPr>
              <w:t>Negociación por cuenta propia</w:t>
            </w:r>
          </w:p>
        </w:tc>
        <w:tc>
          <w:tcPr>
            <w:tcW w:w="1685" w:type="dxa"/>
            <w:shd w:val="clear" w:color="000000" w:fill="FFFFFF"/>
            <w:noWrap/>
            <w:vAlign w:val="center"/>
            <w:hideMark/>
          </w:tcPr>
          <w:p w14:paraId="75D71A5C" w14:textId="77777777" w:rsidR="00817DB4" w:rsidRPr="009B4D5C" w:rsidRDefault="00817DB4" w:rsidP="00817DB4">
            <w:pPr>
              <w:jc w:val="center"/>
              <w:rPr>
                <w:i/>
                <w:iCs/>
                <w:sz w:val="22"/>
                <w:szCs w:val="22"/>
              </w:rPr>
            </w:pPr>
            <w:r w:rsidRPr="009B4D5C">
              <w:rPr>
                <w:i/>
                <w:iCs/>
                <w:sz w:val="22"/>
                <w:szCs w:val="22"/>
              </w:rPr>
              <w:t>Interconexión</w:t>
            </w:r>
          </w:p>
        </w:tc>
        <w:tc>
          <w:tcPr>
            <w:tcW w:w="2454" w:type="dxa"/>
            <w:shd w:val="clear" w:color="000000" w:fill="FFFFFF"/>
            <w:vAlign w:val="center"/>
            <w:hideMark/>
          </w:tcPr>
          <w:p w14:paraId="581B2658" w14:textId="77777777" w:rsidR="00817DB4" w:rsidRPr="009B4D5C" w:rsidRDefault="00817DB4" w:rsidP="00817DB4">
            <w:pPr>
              <w:jc w:val="center"/>
              <w:rPr>
                <w:i/>
                <w:iCs/>
                <w:sz w:val="22"/>
                <w:szCs w:val="22"/>
              </w:rPr>
            </w:pPr>
            <w:r w:rsidRPr="009B4D5C">
              <w:rPr>
                <w:i/>
                <w:iCs/>
                <w:sz w:val="22"/>
                <w:szCs w:val="22"/>
              </w:rPr>
              <w:t>Saldo abierto a plazo acordado</w:t>
            </w:r>
          </w:p>
        </w:tc>
        <w:tc>
          <w:tcPr>
            <w:tcW w:w="1248" w:type="dxa"/>
            <w:vMerge w:val="restart"/>
            <w:shd w:val="clear" w:color="000000" w:fill="FFFFFF"/>
            <w:vAlign w:val="center"/>
            <w:hideMark/>
          </w:tcPr>
          <w:p w14:paraId="249ADF9A" w14:textId="77777777" w:rsidR="00817DB4" w:rsidRPr="009B4D5C" w:rsidRDefault="00817DB4" w:rsidP="00817DB4">
            <w:pPr>
              <w:jc w:val="center"/>
              <w:rPr>
                <w:i/>
                <w:iCs/>
                <w:sz w:val="22"/>
                <w:szCs w:val="22"/>
              </w:rPr>
            </w:pPr>
            <w:r w:rsidRPr="009B4D5C">
              <w:rPr>
                <w:i/>
                <w:iCs/>
                <w:sz w:val="22"/>
                <w:szCs w:val="22"/>
              </w:rPr>
              <w:t>30%</w:t>
            </w:r>
          </w:p>
        </w:tc>
        <w:tc>
          <w:tcPr>
            <w:tcW w:w="1342" w:type="dxa"/>
            <w:shd w:val="clear" w:color="000000" w:fill="FFFFFF"/>
            <w:noWrap/>
            <w:vAlign w:val="center"/>
            <w:hideMark/>
          </w:tcPr>
          <w:p w14:paraId="6480E46B" w14:textId="77777777" w:rsidR="00817DB4" w:rsidRPr="009B4D5C" w:rsidRDefault="00817DB4" w:rsidP="00817DB4">
            <w:pPr>
              <w:jc w:val="center"/>
              <w:rPr>
                <w:i/>
                <w:iCs/>
                <w:sz w:val="22"/>
                <w:szCs w:val="22"/>
              </w:rPr>
            </w:pPr>
            <w:r w:rsidRPr="009B4D5C">
              <w:rPr>
                <w:i/>
                <w:iCs/>
                <w:sz w:val="22"/>
                <w:szCs w:val="22"/>
              </w:rPr>
              <w:t>15%</w:t>
            </w:r>
          </w:p>
        </w:tc>
      </w:tr>
      <w:tr w:rsidR="00817DB4" w:rsidRPr="009B4D5C" w14:paraId="1A83D0CA" w14:textId="77777777" w:rsidTr="002F2BF6">
        <w:trPr>
          <w:gridAfter w:val="1"/>
          <w:wAfter w:w="16" w:type="dxa"/>
          <w:trHeight w:val="20"/>
        </w:trPr>
        <w:tc>
          <w:tcPr>
            <w:tcW w:w="2122" w:type="dxa"/>
            <w:shd w:val="clear" w:color="000000" w:fill="FFFFFF"/>
            <w:vAlign w:val="center"/>
            <w:hideMark/>
          </w:tcPr>
          <w:p w14:paraId="706ABFBA" w14:textId="77777777" w:rsidR="00817DB4" w:rsidRPr="009B4D5C" w:rsidRDefault="00817DB4" w:rsidP="00817DB4">
            <w:pPr>
              <w:jc w:val="center"/>
              <w:rPr>
                <w:i/>
                <w:iCs/>
                <w:sz w:val="22"/>
                <w:szCs w:val="22"/>
              </w:rPr>
            </w:pPr>
            <w:r w:rsidRPr="009B4D5C">
              <w:rPr>
                <w:i/>
                <w:iCs/>
                <w:sz w:val="22"/>
                <w:szCs w:val="22"/>
              </w:rPr>
              <w:t>Custodio</w:t>
            </w:r>
          </w:p>
        </w:tc>
        <w:tc>
          <w:tcPr>
            <w:tcW w:w="1685" w:type="dxa"/>
            <w:shd w:val="clear" w:color="000000" w:fill="FFFFFF"/>
            <w:noWrap/>
            <w:vAlign w:val="center"/>
            <w:hideMark/>
          </w:tcPr>
          <w:p w14:paraId="4A4A4612" w14:textId="77777777" w:rsidR="00817DB4" w:rsidRPr="009B4D5C" w:rsidRDefault="00817DB4" w:rsidP="00817DB4">
            <w:pPr>
              <w:jc w:val="center"/>
              <w:rPr>
                <w:i/>
                <w:iCs/>
                <w:sz w:val="22"/>
                <w:szCs w:val="22"/>
              </w:rPr>
            </w:pPr>
            <w:r w:rsidRPr="009B4D5C">
              <w:rPr>
                <w:i/>
                <w:iCs/>
                <w:sz w:val="22"/>
                <w:szCs w:val="22"/>
              </w:rPr>
              <w:t>Interconexión</w:t>
            </w:r>
          </w:p>
        </w:tc>
        <w:tc>
          <w:tcPr>
            <w:tcW w:w="2454" w:type="dxa"/>
            <w:shd w:val="clear" w:color="000000" w:fill="FFFFFF"/>
            <w:vAlign w:val="center"/>
            <w:hideMark/>
          </w:tcPr>
          <w:p w14:paraId="1E6EF1FD" w14:textId="77777777" w:rsidR="00817DB4" w:rsidRPr="009B4D5C" w:rsidRDefault="00817DB4" w:rsidP="00817DB4">
            <w:pPr>
              <w:jc w:val="center"/>
              <w:rPr>
                <w:i/>
                <w:iCs/>
                <w:sz w:val="22"/>
                <w:szCs w:val="22"/>
              </w:rPr>
            </w:pPr>
            <w:r w:rsidRPr="009B4D5C">
              <w:rPr>
                <w:i/>
                <w:iCs/>
                <w:sz w:val="22"/>
                <w:szCs w:val="22"/>
              </w:rPr>
              <w:t>Participación relativa de los inversionistas institucionales en custodia total</w:t>
            </w:r>
          </w:p>
        </w:tc>
        <w:tc>
          <w:tcPr>
            <w:tcW w:w="1248" w:type="dxa"/>
            <w:vMerge/>
            <w:vAlign w:val="center"/>
            <w:hideMark/>
          </w:tcPr>
          <w:p w14:paraId="21463B66" w14:textId="77777777" w:rsidR="00817DB4" w:rsidRPr="009B4D5C" w:rsidRDefault="00817DB4" w:rsidP="00817DB4">
            <w:pPr>
              <w:jc w:val="center"/>
              <w:rPr>
                <w:i/>
                <w:iCs/>
                <w:sz w:val="22"/>
                <w:szCs w:val="22"/>
              </w:rPr>
            </w:pPr>
          </w:p>
        </w:tc>
        <w:tc>
          <w:tcPr>
            <w:tcW w:w="1342" w:type="dxa"/>
            <w:shd w:val="clear" w:color="000000" w:fill="FFFFFF"/>
            <w:noWrap/>
            <w:vAlign w:val="center"/>
            <w:hideMark/>
          </w:tcPr>
          <w:p w14:paraId="1E616C48" w14:textId="77777777" w:rsidR="00817DB4" w:rsidRPr="009B4D5C" w:rsidRDefault="00817DB4" w:rsidP="00817DB4">
            <w:pPr>
              <w:jc w:val="center"/>
              <w:rPr>
                <w:i/>
                <w:iCs/>
                <w:sz w:val="22"/>
                <w:szCs w:val="22"/>
              </w:rPr>
            </w:pPr>
            <w:r w:rsidRPr="009B4D5C">
              <w:rPr>
                <w:i/>
                <w:iCs/>
                <w:sz w:val="22"/>
                <w:szCs w:val="22"/>
              </w:rPr>
              <w:t>15%</w:t>
            </w:r>
          </w:p>
        </w:tc>
      </w:tr>
      <w:tr w:rsidR="00817DB4" w:rsidRPr="009B4D5C" w14:paraId="62B9B8DE" w14:textId="77777777" w:rsidTr="002F2BF6">
        <w:trPr>
          <w:gridAfter w:val="1"/>
          <w:wAfter w:w="16" w:type="dxa"/>
          <w:trHeight w:val="20"/>
        </w:trPr>
        <w:tc>
          <w:tcPr>
            <w:tcW w:w="2122" w:type="dxa"/>
            <w:shd w:val="clear" w:color="000000" w:fill="FFFFFF"/>
            <w:vAlign w:val="center"/>
            <w:hideMark/>
          </w:tcPr>
          <w:p w14:paraId="4DED8590" w14:textId="77777777" w:rsidR="00817DB4" w:rsidRPr="009B4D5C" w:rsidRDefault="00817DB4" w:rsidP="00817DB4">
            <w:pPr>
              <w:jc w:val="center"/>
              <w:rPr>
                <w:i/>
                <w:iCs/>
                <w:sz w:val="22"/>
                <w:szCs w:val="22"/>
              </w:rPr>
            </w:pPr>
            <w:r w:rsidRPr="009B4D5C">
              <w:rPr>
                <w:i/>
                <w:iCs/>
                <w:sz w:val="22"/>
                <w:szCs w:val="22"/>
              </w:rPr>
              <w:t>Custodio</w:t>
            </w:r>
          </w:p>
        </w:tc>
        <w:tc>
          <w:tcPr>
            <w:tcW w:w="1685" w:type="dxa"/>
            <w:shd w:val="clear" w:color="000000" w:fill="FFFFFF"/>
            <w:noWrap/>
            <w:vAlign w:val="center"/>
            <w:hideMark/>
          </w:tcPr>
          <w:p w14:paraId="2C29B749" w14:textId="77777777" w:rsidR="00817DB4" w:rsidRPr="009B4D5C" w:rsidRDefault="00817DB4" w:rsidP="00817DB4">
            <w:pPr>
              <w:jc w:val="center"/>
              <w:rPr>
                <w:i/>
                <w:iCs/>
                <w:sz w:val="22"/>
                <w:szCs w:val="22"/>
              </w:rPr>
            </w:pPr>
            <w:r w:rsidRPr="009B4D5C">
              <w:rPr>
                <w:i/>
                <w:iCs/>
                <w:sz w:val="22"/>
                <w:szCs w:val="22"/>
              </w:rPr>
              <w:t>Grado de Sustitución</w:t>
            </w:r>
          </w:p>
        </w:tc>
        <w:tc>
          <w:tcPr>
            <w:tcW w:w="2454" w:type="dxa"/>
            <w:shd w:val="clear" w:color="000000" w:fill="FFFFFF"/>
            <w:vAlign w:val="center"/>
            <w:hideMark/>
          </w:tcPr>
          <w:p w14:paraId="57693A6B" w14:textId="77777777" w:rsidR="00817DB4" w:rsidRPr="009B4D5C" w:rsidRDefault="00817DB4" w:rsidP="00817DB4">
            <w:pPr>
              <w:jc w:val="center"/>
              <w:rPr>
                <w:i/>
                <w:iCs/>
                <w:sz w:val="22"/>
                <w:szCs w:val="22"/>
              </w:rPr>
            </w:pPr>
            <w:r w:rsidRPr="009B4D5C">
              <w:rPr>
                <w:i/>
                <w:iCs/>
                <w:sz w:val="22"/>
                <w:szCs w:val="22"/>
              </w:rPr>
              <w:t>Monto de la Custodia total</w:t>
            </w:r>
          </w:p>
        </w:tc>
        <w:tc>
          <w:tcPr>
            <w:tcW w:w="1248" w:type="dxa"/>
            <w:shd w:val="clear" w:color="000000" w:fill="FFFFFF"/>
            <w:noWrap/>
            <w:vAlign w:val="center"/>
            <w:hideMark/>
          </w:tcPr>
          <w:p w14:paraId="7AF2FEF9" w14:textId="77777777" w:rsidR="00817DB4" w:rsidRPr="009B4D5C" w:rsidRDefault="00817DB4" w:rsidP="00817DB4">
            <w:pPr>
              <w:jc w:val="center"/>
              <w:rPr>
                <w:i/>
                <w:iCs/>
                <w:sz w:val="22"/>
                <w:szCs w:val="22"/>
              </w:rPr>
            </w:pPr>
            <w:r w:rsidRPr="009B4D5C">
              <w:rPr>
                <w:i/>
                <w:iCs/>
                <w:sz w:val="22"/>
                <w:szCs w:val="22"/>
              </w:rPr>
              <w:t>10%</w:t>
            </w:r>
          </w:p>
        </w:tc>
        <w:tc>
          <w:tcPr>
            <w:tcW w:w="1342" w:type="dxa"/>
            <w:shd w:val="clear" w:color="000000" w:fill="FFFFFF"/>
            <w:noWrap/>
            <w:vAlign w:val="center"/>
            <w:hideMark/>
          </w:tcPr>
          <w:p w14:paraId="572C8A12" w14:textId="77777777" w:rsidR="00817DB4" w:rsidRPr="009B4D5C" w:rsidRDefault="00817DB4" w:rsidP="00817DB4">
            <w:pPr>
              <w:jc w:val="center"/>
              <w:rPr>
                <w:i/>
                <w:iCs/>
                <w:sz w:val="22"/>
                <w:szCs w:val="22"/>
              </w:rPr>
            </w:pPr>
            <w:r w:rsidRPr="009B4D5C">
              <w:rPr>
                <w:i/>
                <w:iCs/>
                <w:sz w:val="22"/>
                <w:szCs w:val="22"/>
              </w:rPr>
              <w:t>10%</w:t>
            </w:r>
          </w:p>
        </w:tc>
      </w:tr>
      <w:tr w:rsidR="00817DB4" w:rsidRPr="009B4D5C" w14:paraId="6161F557" w14:textId="77777777" w:rsidTr="002F2BF6">
        <w:trPr>
          <w:gridAfter w:val="1"/>
          <w:wAfter w:w="16" w:type="dxa"/>
          <w:trHeight w:val="20"/>
        </w:trPr>
        <w:tc>
          <w:tcPr>
            <w:tcW w:w="2122" w:type="dxa"/>
            <w:shd w:val="clear" w:color="000000" w:fill="FFFFFF"/>
            <w:vAlign w:val="center"/>
            <w:hideMark/>
          </w:tcPr>
          <w:p w14:paraId="09F5FECF" w14:textId="77777777" w:rsidR="00817DB4" w:rsidRPr="009B4D5C" w:rsidRDefault="00817DB4" w:rsidP="00817DB4">
            <w:pPr>
              <w:jc w:val="center"/>
              <w:rPr>
                <w:i/>
                <w:iCs/>
                <w:sz w:val="22"/>
                <w:szCs w:val="22"/>
              </w:rPr>
            </w:pPr>
            <w:r w:rsidRPr="009B4D5C">
              <w:rPr>
                <w:i/>
                <w:iCs/>
                <w:sz w:val="22"/>
                <w:szCs w:val="22"/>
              </w:rPr>
              <w:t>Negociación por cuenta propia</w:t>
            </w:r>
          </w:p>
        </w:tc>
        <w:tc>
          <w:tcPr>
            <w:tcW w:w="1685" w:type="dxa"/>
            <w:shd w:val="clear" w:color="000000" w:fill="FFFFFF"/>
            <w:noWrap/>
            <w:vAlign w:val="center"/>
            <w:hideMark/>
          </w:tcPr>
          <w:p w14:paraId="3D3CFCBA" w14:textId="77777777" w:rsidR="00817DB4" w:rsidRPr="009B4D5C" w:rsidRDefault="00817DB4" w:rsidP="00817DB4">
            <w:pPr>
              <w:jc w:val="center"/>
              <w:rPr>
                <w:i/>
                <w:iCs/>
                <w:sz w:val="22"/>
                <w:szCs w:val="22"/>
              </w:rPr>
            </w:pPr>
            <w:r w:rsidRPr="009B4D5C">
              <w:rPr>
                <w:i/>
                <w:iCs/>
                <w:sz w:val="22"/>
                <w:szCs w:val="22"/>
              </w:rPr>
              <w:t>Complejidad</w:t>
            </w:r>
          </w:p>
        </w:tc>
        <w:tc>
          <w:tcPr>
            <w:tcW w:w="2454" w:type="dxa"/>
            <w:shd w:val="clear" w:color="000000" w:fill="FFFFFF"/>
            <w:vAlign w:val="center"/>
            <w:hideMark/>
          </w:tcPr>
          <w:p w14:paraId="67B847E1" w14:textId="77777777" w:rsidR="00817DB4" w:rsidRPr="009B4D5C" w:rsidRDefault="00817DB4" w:rsidP="00817DB4">
            <w:pPr>
              <w:jc w:val="center"/>
              <w:rPr>
                <w:i/>
                <w:iCs/>
                <w:sz w:val="22"/>
                <w:szCs w:val="22"/>
              </w:rPr>
            </w:pPr>
            <w:r w:rsidRPr="009B4D5C">
              <w:rPr>
                <w:i/>
                <w:iCs/>
                <w:sz w:val="22"/>
                <w:szCs w:val="22"/>
              </w:rPr>
              <w:t>Porcentaje según Indicador Bursatilidad (Activos menos líquidos (NIIF 13 - Niveles 2 y 3))</w:t>
            </w:r>
          </w:p>
        </w:tc>
        <w:tc>
          <w:tcPr>
            <w:tcW w:w="1248" w:type="dxa"/>
            <w:shd w:val="clear" w:color="000000" w:fill="FFFFFF"/>
            <w:noWrap/>
            <w:vAlign w:val="center"/>
            <w:hideMark/>
          </w:tcPr>
          <w:p w14:paraId="23AA7A8D" w14:textId="77777777" w:rsidR="00817DB4" w:rsidRPr="009B4D5C" w:rsidRDefault="00817DB4" w:rsidP="00817DB4">
            <w:pPr>
              <w:jc w:val="center"/>
              <w:rPr>
                <w:i/>
                <w:iCs/>
                <w:sz w:val="22"/>
                <w:szCs w:val="22"/>
              </w:rPr>
            </w:pPr>
            <w:r w:rsidRPr="009B4D5C">
              <w:rPr>
                <w:i/>
                <w:iCs/>
                <w:sz w:val="22"/>
                <w:szCs w:val="22"/>
              </w:rPr>
              <w:t>10%</w:t>
            </w:r>
          </w:p>
        </w:tc>
        <w:tc>
          <w:tcPr>
            <w:tcW w:w="1342" w:type="dxa"/>
            <w:shd w:val="clear" w:color="000000" w:fill="FFFFFF"/>
            <w:noWrap/>
            <w:vAlign w:val="center"/>
            <w:hideMark/>
          </w:tcPr>
          <w:p w14:paraId="5E2C37B5" w14:textId="77777777" w:rsidR="00817DB4" w:rsidRPr="009B4D5C" w:rsidRDefault="00817DB4" w:rsidP="00817DB4">
            <w:pPr>
              <w:jc w:val="center"/>
              <w:rPr>
                <w:i/>
                <w:iCs/>
                <w:sz w:val="22"/>
                <w:szCs w:val="22"/>
              </w:rPr>
            </w:pPr>
            <w:r w:rsidRPr="009B4D5C">
              <w:rPr>
                <w:i/>
                <w:iCs/>
                <w:sz w:val="22"/>
                <w:szCs w:val="22"/>
              </w:rPr>
              <w:t>10%</w:t>
            </w:r>
          </w:p>
        </w:tc>
      </w:tr>
      <w:tr w:rsidR="00817DB4" w:rsidRPr="009B4D5C" w14:paraId="46E6ECA2" w14:textId="77777777" w:rsidTr="002F2BF6">
        <w:trPr>
          <w:gridAfter w:val="1"/>
          <w:wAfter w:w="16" w:type="dxa"/>
          <w:trHeight w:val="20"/>
        </w:trPr>
        <w:tc>
          <w:tcPr>
            <w:tcW w:w="2122" w:type="dxa"/>
            <w:shd w:val="clear" w:color="000000" w:fill="FFFFFF"/>
            <w:vAlign w:val="center"/>
            <w:hideMark/>
          </w:tcPr>
          <w:p w14:paraId="060DFB9A" w14:textId="77777777" w:rsidR="00817DB4" w:rsidRPr="009B4D5C" w:rsidRDefault="00817DB4" w:rsidP="00817DB4">
            <w:pPr>
              <w:jc w:val="center"/>
              <w:rPr>
                <w:i/>
                <w:iCs/>
                <w:sz w:val="22"/>
                <w:szCs w:val="22"/>
              </w:rPr>
            </w:pPr>
            <w:r w:rsidRPr="009B4D5C">
              <w:rPr>
                <w:i/>
                <w:iCs/>
                <w:sz w:val="22"/>
                <w:szCs w:val="22"/>
              </w:rPr>
              <w:t>Negociación por cuenta propia</w:t>
            </w:r>
          </w:p>
        </w:tc>
        <w:tc>
          <w:tcPr>
            <w:tcW w:w="1685" w:type="dxa"/>
            <w:shd w:val="clear" w:color="000000" w:fill="FFFFFF"/>
            <w:noWrap/>
            <w:vAlign w:val="center"/>
            <w:hideMark/>
          </w:tcPr>
          <w:p w14:paraId="6179F31F" w14:textId="77777777" w:rsidR="00817DB4" w:rsidRPr="009B4D5C" w:rsidRDefault="00817DB4" w:rsidP="00817DB4">
            <w:pPr>
              <w:jc w:val="center"/>
              <w:rPr>
                <w:i/>
                <w:iCs/>
                <w:sz w:val="22"/>
                <w:szCs w:val="22"/>
              </w:rPr>
            </w:pPr>
            <w:r w:rsidRPr="009B4D5C">
              <w:rPr>
                <w:i/>
                <w:iCs/>
                <w:sz w:val="22"/>
                <w:szCs w:val="22"/>
              </w:rPr>
              <w:t>Concentración</w:t>
            </w:r>
          </w:p>
        </w:tc>
        <w:tc>
          <w:tcPr>
            <w:tcW w:w="2454" w:type="dxa"/>
            <w:shd w:val="clear" w:color="000000" w:fill="FFFFFF"/>
            <w:vAlign w:val="center"/>
            <w:hideMark/>
          </w:tcPr>
          <w:p w14:paraId="1E70E499" w14:textId="77777777" w:rsidR="00817DB4" w:rsidRPr="009B4D5C" w:rsidRDefault="00817DB4" w:rsidP="00817DB4">
            <w:pPr>
              <w:jc w:val="center"/>
              <w:rPr>
                <w:i/>
                <w:iCs/>
                <w:sz w:val="22"/>
                <w:szCs w:val="22"/>
              </w:rPr>
            </w:pPr>
            <w:r w:rsidRPr="009B4D5C">
              <w:rPr>
                <w:i/>
                <w:iCs/>
                <w:sz w:val="22"/>
                <w:szCs w:val="22"/>
              </w:rPr>
              <w:t>Puntos del IHH (Tenencias de valores emitidos por Gobierno)</w:t>
            </w:r>
          </w:p>
        </w:tc>
        <w:tc>
          <w:tcPr>
            <w:tcW w:w="1248" w:type="dxa"/>
            <w:shd w:val="clear" w:color="000000" w:fill="FFFFFF"/>
            <w:noWrap/>
            <w:vAlign w:val="center"/>
            <w:hideMark/>
          </w:tcPr>
          <w:p w14:paraId="6BFE907B" w14:textId="77777777" w:rsidR="00817DB4" w:rsidRPr="009B4D5C" w:rsidRDefault="00817DB4" w:rsidP="00817DB4">
            <w:pPr>
              <w:jc w:val="center"/>
              <w:rPr>
                <w:i/>
                <w:iCs/>
                <w:sz w:val="22"/>
                <w:szCs w:val="22"/>
              </w:rPr>
            </w:pPr>
            <w:r w:rsidRPr="009B4D5C">
              <w:rPr>
                <w:i/>
                <w:iCs/>
                <w:sz w:val="22"/>
                <w:szCs w:val="22"/>
              </w:rPr>
              <w:t>10%</w:t>
            </w:r>
          </w:p>
        </w:tc>
        <w:tc>
          <w:tcPr>
            <w:tcW w:w="1342" w:type="dxa"/>
            <w:shd w:val="clear" w:color="000000" w:fill="FFFFFF"/>
            <w:noWrap/>
            <w:vAlign w:val="center"/>
            <w:hideMark/>
          </w:tcPr>
          <w:p w14:paraId="1FF9A2CA" w14:textId="77777777" w:rsidR="00817DB4" w:rsidRPr="009B4D5C" w:rsidRDefault="00817DB4" w:rsidP="00817DB4">
            <w:pPr>
              <w:jc w:val="center"/>
              <w:rPr>
                <w:i/>
                <w:iCs/>
                <w:sz w:val="22"/>
                <w:szCs w:val="22"/>
              </w:rPr>
            </w:pPr>
            <w:r w:rsidRPr="009B4D5C">
              <w:rPr>
                <w:i/>
                <w:iCs/>
                <w:sz w:val="22"/>
                <w:szCs w:val="22"/>
              </w:rPr>
              <w:t>10%</w:t>
            </w:r>
          </w:p>
        </w:tc>
      </w:tr>
      <w:tr w:rsidR="00817DB4" w:rsidRPr="009B4D5C" w14:paraId="63DE94DC" w14:textId="77777777" w:rsidTr="002F2BF6">
        <w:trPr>
          <w:gridAfter w:val="1"/>
          <w:wAfter w:w="16" w:type="dxa"/>
          <w:trHeight w:val="20"/>
        </w:trPr>
        <w:tc>
          <w:tcPr>
            <w:tcW w:w="2122" w:type="dxa"/>
            <w:shd w:val="clear" w:color="000000" w:fill="FFFFFF"/>
            <w:vAlign w:val="center"/>
            <w:hideMark/>
          </w:tcPr>
          <w:p w14:paraId="2410E71C" w14:textId="77777777" w:rsidR="00817DB4" w:rsidRPr="009B4D5C" w:rsidRDefault="00817DB4" w:rsidP="00817DB4">
            <w:pPr>
              <w:jc w:val="center"/>
              <w:rPr>
                <w:i/>
                <w:iCs/>
                <w:sz w:val="22"/>
                <w:szCs w:val="22"/>
              </w:rPr>
            </w:pPr>
            <w:r w:rsidRPr="009B4D5C">
              <w:rPr>
                <w:i/>
                <w:iCs/>
                <w:sz w:val="22"/>
                <w:szCs w:val="22"/>
              </w:rPr>
              <w:t>Gestión de portafolios</w:t>
            </w:r>
          </w:p>
        </w:tc>
        <w:tc>
          <w:tcPr>
            <w:tcW w:w="1685" w:type="dxa"/>
            <w:shd w:val="clear" w:color="000000" w:fill="FFFFFF"/>
            <w:noWrap/>
            <w:vAlign w:val="center"/>
            <w:hideMark/>
          </w:tcPr>
          <w:p w14:paraId="377ED1FF" w14:textId="77777777" w:rsidR="00817DB4" w:rsidRPr="009B4D5C" w:rsidRDefault="00817DB4" w:rsidP="00817DB4">
            <w:pPr>
              <w:jc w:val="center"/>
              <w:rPr>
                <w:i/>
                <w:iCs/>
                <w:sz w:val="22"/>
                <w:szCs w:val="22"/>
              </w:rPr>
            </w:pPr>
            <w:r w:rsidRPr="009B4D5C">
              <w:rPr>
                <w:i/>
                <w:iCs/>
                <w:sz w:val="22"/>
                <w:szCs w:val="22"/>
              </w:rPr>
              <w:t>Incentivos</w:t>
            </w:r>
          </w:p>
        </w:tc>
        <w:tc>
          <w:tcPr>
            <w:tcW w:w="2454" w:type="dxa"/>
            <w:shd w:val="clear" w:color="000000" w:fill="FFFFFF"/>
            <w:vAlign w:val="center"/>
            <w:hideMark/>
          </w:tcPr>
          <w:p w14:paraId="174AFFA7" w14:textId="77777777" w:rsidR="00817DB4" w:rsidRPr="009B4D5C" w:rsidRDefault="00817DB4" w:rsidP="00817DB4">
            <w:pPr>
              <w:jc w:val="center"/>
              <w:rPr>
                <w:i/>
                <w:iCs/>
                <w:sz w:val="22"/>
                <w:szCs w:val="22"/>
              </w:rPr>
            </w:pPr>
            <w:r w:rsidRPr="009B4D5C">
              <w:rPr>
                <w:i/>
                <w:iCs/>
                <w:sz w:val="22"/>
                <w:szCs w:val="22"/>
              </w:rPr>
              <w:t>Monto de Comisiones por producto o actividad (rotación de carteras)</w:t>
            </w:r>
          </w:p>
        </w:tc>
        <w:tc>
          <w:tcPr>
            <w:tcW w:w="1248" w:type="dxa"/>
            <w:vMerge w:val="restart"/>
            <w:shd w:val="clear" w:color="000000" w:fill="FFFFFF"/>
            <w:vAlign w:val="center"/>
            <w:hideMark/>
          </w:tcPr>
          <w:p w14:paraId="333E5F3E" w14:textId="77777777" w:rsidR="00817DB4" w:rsidRPr="009B4D5C" w:rsidRDefault="00817DB4" w:rsidP="00817DB4">
            <w:pPr>
              <w:jc w:val="center"/>
              <w:rPr>
                <w:i/>
                <w:iCs/>
                <w:sz w:val="22"/>
                <w:szCs w:val="22"/>
              </w:rPr>
            </w:pPr>
            <w:r w:rsidRPr="009B4D5C">
              <w:rPr>
                <w:i/>
                <w:iCs/>
                <w:sz w:val="22"/>
                <w:szCs w:val="22"/>
              </w:rPr>
              <w:t>10%</w:t>
            </w:r>
          </w:p>
        </w:tc>
        <w:tc>
          <w:tcPr>
            <w:tcW w:w="1342" w:type="dxa"/>
            <w:shd w:val="clear" w:color="000000" w:fill="FFFFFF"/>
            <w:noWrap/>
            <w:vAlign w:val="center"/>
            <w:hideMark/>
          </w:tcPr>
          <w:p w14:paraId="7AD8A27D" w14:textId="77777777" w:rsidR="00817DB4" w:rsidRPr="009B4D5C" w:rsidRDefault="00817DB4" w:rsidP="00817DB4">
            <w:pPr>
              <w:jc w:val="center"/>
              <w:rPr>
                <w:i/>
                <w:iCs/>
                <w:sz w:val="22"/>
                <w:szCs w:val="22"/>
              </w:rPr>
            </w:pPr>
            <w:r w:rsidRPr="009B4D5C">
              <w:rPr>
                <w:i/>
                <w:iCs/>
                <w:sz w:val="22"/>
                <w:szCs w:val="22"/>
              </w:rPr>
              <w:t>2,50%</w:t>
            </w:r>
          </w:p>
        </w:tc>
      </w:tr>
      <w:tr w:rsidR="00817DB4" w:rsidRPr="009B4D5C" w14:paraId="048D5FD6" w14:textId="77777777" w:rsidTr="002F2BF6">
        <w:trPr>
          <w:gridAfter w:val="1"/>
          <w:wAfter w:w="16" w:type="dxa"/>
          <w:trHeight w:val="20"/>
        </w:trPr>
        <w:tc>
          <w:tcPr>
            <w:tcW w:w="2122" w:type="dxa"/>
            <w:shd w:val="clear" w:color="000000" w:fill="FFFFFF"/>
            <w:vAlign w:val="center"/>
            <w:hideMark/>
          </w:tcPr>
          <w:p w14:paraId="6D01BB13" w14:textId="77777777" w:rsidR="00817DB4" w:rsidRPr="009B4D5C" w:rsidRDefault="00817DB4" w:rsidP="00817DB4">
            <w:pPr>
              <w:jc w:val="center"/>
              <w:rPr>
                <w:i/>
                <w:iCs/>
                <w:sz w:val="22"/>
                <w:szCs w:val="22"/>
              </w:rPr>
            </w:pPr>
            <w:r w:rsidRPr="009B4D5C">
              <w:rPr>
                <w:i/>
                <w:iCs/>
                <w:sz w:val="22"/>
                <w:szCs w:val="22"/>
              </w:rPr>
              <w:t>Ejecución y transmisión de órdenes</w:t>
            </w:r>
          </w:p>
        </w:tc>
        <w:tc>
          <w:tcPr>
            <w:tcW w:w="1685" w:type="dxa"/>
            <w:shd w:val="clear" w:color="000000" w:fill="FFFFFF"/>
            <w:noWrap/>
            <w:vAlign w:val="center"/>
            <w:hideMark/>
          </w:tcPr>
          <w:p w14:paraId="7672AB1B" w14:textId="77777777" w:rsidR="00817DB4" w:rsidRPr="009B4D5C" w:rsidRDefault="00817DB4" w:rsidP="00817DB4">
            <w:pPr>
              <w:jc w:val="center"/>
              <w:rPr>
                <w:i/>
                <w:iCs/>
                <w:sz w:val="22"/>
                <w:szCs w:val="22"/>
              </w:rPr>
            </w:pPr>
            <w:r w:rsidRPr="009B4D5C">
              <w:rPr>
                <w:i/>
                <w:iCs/>
                <w:sz w:val="22"/>
                <w:szCs w:val="22"/>
              </w:rPr>
              <w:t>Incentivos</w:t>
            </w:r>
          </w:p>
        </w:tc>
        <w:tc>
          <w:tcPr>
            <w:tcW w:w="2454" w:type="dxa"/>
            <w:shd w:val="clear" w:color="000000" w:fill="FFFFFF"/>
            <w:vAlign w:val="center"/>
            <w:hideMark/>
          </w:tcPr>
          <w:p w14:paraId="281B1788" w14:textId="77777777" w:rsidR="00817DB4" w:rsidRPr="009B4D5C" w:rsidRDefault="00817DB4" w:rsidP="00817DB4">
            <w:pPr>
              <w:jc w:val="center"/>
              <w:rPr>
                <w:i/>
                <w:iCs/>
                <w:sz w:val="22"/>
                <w:szCs w:val="22"/>
              </w:rPr>
            </w:pPr>
            <w:r w:rsidRPr="009B4D5C">
              <w:rPr>
                <w:i/>
                <w:iCs/>
                <w:sz w:val="22"/>
                <w:szCs w:val="22"/>
              </w:rPr>
              <w:t>Monto de Comisiones por producto o actividad (rotación de carteras)</w:t>
            </w:r>
          </w:p>
        </w:tc>
        <w:tc>
          <w:tcPr>
            <w:tcW w:w="1248" w:type="dxa"/>
            <w:vMerge/>
            <w:vAlign w:val="center"/>
            <w:hideMark/>
          </w:tcPr>
          <w:p w14:paraId="32628576" w14:textId="77777777" w:rsidR="00817DB4" w:rsidRPr="009B4D5C" w:rsidRDefault="00817DB4" w:rsidP="00817DB4">
            <w:pPr>
              <w:jc w:val="center"/>
              <w:rPr>
                <w:i/>
                <w:iCs/>
                <w:sz w:val="22"/>
                <w:szCs w:val="22"/>
              </w:rPr>
            </w:pPr>
          </w:p>
        </w:tc>
        <w:tc>
          <w:tcPr>
            <w:tcW w:w="1342" w:type="dxa"/>
            <w:shd w:val="clear" w:color="000000" w:fill="FFFFFF"/>
            <w:noWrap/>
            <w:vAlign w:val="center"/>
            <w:hideMark/>
          </w:tcPr>
          <w:p w14:paraId="08A6DD88" w14:textId="77777777" w:rsidR="00817DB4" w:rsidRPr="009B4D5C" w:rsidRDefault="00817DB4" w:rsidP="00817DB4">
            <w:pPr>
              <w:jc w:val="center"/>
              <w:rPr>
                <w:i/>
                <w:iCs/>
                <w:sz w:val="22"/>
                <w:szCs w:val="22"/>
              </w:rPr>
            </w:pPr>
            <w:r w:rsidRPr="009B4D5C">
              <w:rPr>
                <w:i/>
                <w:iCs/>
                <w:sz w:val="22"/>
                <w:szCs w:val="22"/>
              </w:rPr>
              <w:t>2,50%</w:t>
            </w:r>
          </w:p>
        </w:tc>
      </w:tr>
      <w:tr w:rsidR="00817DB4" w:rsidRPr="009B4D5C" w14:paraId="34FB2B1D" w14:textId="77777777" w:rsidTr="002F2BF6">
        <w:trPr>
          <w:gridAfter w:val="1"/>
          <w:wAfter w:w="16" w:type="dxa"/>
          <w:trHeight w:val="20"/>
        </w:trPr>
        <w:tc>
          <w:tcPr>
            <w:tcW w:w="2122" w:type="dxa"/>
            <w:shd w:val="clear" w:color="000000" w:fill="FFFFFF"/>
            <w:vAlign w:val="center"/>
            <w:hideMark/>
          </w:tcPr>
          <w:p w14:paraId="3EA23569" w14:textId="77777777" w:rsidR="00817DB4" w:rsidRPr="009B4D5C" w:rsidRDefault="00817DB4" w:rsidP="00817DB4">
            <w:pPr>
              <w:jc w:val="center"/>
              <w:rPr>
                <w:i/>
                <w:iCs/>
                <w:sz w:val="22"/>
                <w:szCs w:val="22"/>
              </w:rPr>
            </w:pPr>
            <w:r w:rsidRPr="009B4D5C">
              <w:rPr>
                <w:i/>
                <w:iCs/>
                <w:sz w:val="22"/>
                <w:szCs w:val="22"/>
              </w:rPr>
              <w:t>Asesoría de inversión</w:t>
            </w:r>
          </w:p>
        </w:tc>
        <w:tc>
          <w:tcPr>
            <w:tcW w:w="1685" w:type="dxa"/>
            <w:shd w:val="clear" w:color="000000" w:fill="FFFFFF"/>
            <w:noWrap/>
            <w:vAlign w:val="center"/>
            <w:hideMark/>
          </w:tcPr>
          <w:p w14:paraId="6FE7DE79" w14:textId="77777777" w:rsidR="00817DB4" w:rsidRPr="009B4D5C" w:rsidRDefault="00817DB4" w:rsidP="00817DB4">
            <w:pPr>
              <w:jc w:val="center"/>
              <w:rPr>
                <w:i/>
                <w:iCs/>
                <w:sz w:val="22"/>
                <w:szCs w:val="22"/>
              </w:rPr>
            </w:pPr>
            <w:r w:rsidRPr="009B4D5C">
              <w:rPr>
                <w:i/>
                <w:iCs/>
                <w:sz w:val="22"/>
                <w:szCs w:val="22"/>
              </w:rPr>
              <w:t>Incentivos</w:t>
            </w:r>
          </w:p>
        </w:tc>
        <w:tc>
          <w:tcPr>
            <w:tcW w:w="2454" w:type="dxa"/>
            <w:shd w:val="clear" w:color="000000" w:fill="FFFFFF"/>
            <w:vAlign w:val="center"/>
            <w:hideMark/>
          </w:tcPr>
          <w:p w14:paraId="2D4EC64A" w14:textId="77777777" w:rsidR="00817DB4" w:rsidRPr="009B4D5C" w:rsidRDefault="00817DB4" w:rsidP="00817DB4">
            <w:pPr>
              <w:jc w:val="center"/>
              <w:rPr>
                <w:i/>
                <w:iCs/>
                <w:sz w:val="22"/>
                <w:szCs w:val="22"/>
              </w:rPr>
            </w:pPr>
            <w:r w:rsidRPr="009B4D5C">
              <w:rPr>
                <w:i/>
                <w:iCs/>
                <w:sz w:val="22"/>
                <w:szCs w:val="22"/>
              </w:rPr>
              <w:t>Monto de Comisiones por producto o actividad (rotación de carteras)</w:t>
            </w:r>
          </w:p>
        </w:tc>
        <w:tc>
          <w:tcPr>
            <w:tcW w:w="1248" w:type="dxa"/>
            <w:vMerge/>
            <w:vAlign w:val="center"/>
            <w:hideMark/>
          </w:tcPr>
          <w:p w14:paraId="4219C1F3" w14:textId="77777777" w:rsidR="00817DB4" w:rsidRPr="009B4D5C" w:rsidRDefault="00817DB4" w:rsidP="00817DB4">
            <w:pPr>
              <w:jc w:val="center"/>
              <w:rPr>
                <w:i/>
                <w:iCs/>
                <w:sz w:val="22"/>
                <w:szCs w:val="22"/>
              </w:rPr>
            </w:pPr>
          </w:p>
        </w:tc>
        <w:tc>
          <w:tcPr>
            <w:tcW w:w="1342" w:type="dxa"/>
            <w:shd w:val="clear" w:color="000000" w:fill="FFFFFF"/>
            <w:noWrap/>
            <w:vAlign w:val="center"/>
            <w:hideMark/>
          </w:tcPr>
          <w:p w14:paraId="7132628A" w14:textId="77777777" w:rsidR="00817DB4" w:rsidRPr="009B4D5C" w:rsidRDefault="00817DB4" w:rsidP="00817DB4">
            <w:pPr>
              <w:jc w:val="center"/>
              <w:rPr>
                <w:i/>
                <w:iCs/>
                <w:sz w:val="22"/>
                <w:szCs w:val="22"/>
              </w:rPr>
            </w:pPr>
            <w:r w:rsidRPr="009B4D5C">
              <w:rPr>
                <w:i/>
                <w:iCs/>
                <w:sz w:val="22"/>
                <w:szCs w:val="22"/>
              </w:rPr>
              <w:t>2,50%</w:t>
            </w:r>
          </w:p>
        </w:tc>
      </w:tr>
      <w:tr w:rsidR="00817DB4" w:rsidRPr="009B4D5C" w14:paraId="669A7F4F" w14:textId="77777777" w:rsidTr="002F2BF6">
        <w:trPr>
          <w:gridAfter w:val="1"/>
          <w:wAfter w:w="16" w:type="dxa"/>
          <w:trHeight w:val="20"/>
        </w:trPr>
        <w:tc>
          <w:tcPr>
            <w:tcW w:w="2122" w:type="dxa"/>
            <w:shd w:val="clear" w:color="000000" w:fill="FFFFFF"/>
            <w:vAlign w:val="center"/>
            <w:hideMark/>
          </w:tcPr>
          <w:p w14:paraId="22B1CF6E" w14:textId="77777777" w:rsidR="00817DB4" w:rsidRPr="009B4D5C" w:rsidRDefault="00817DB4" w:rsidP="00817DB4">
            <w:pPr>
              <w:jc w:val="center"/>
              <w:rPr>
                <w:i/>
                <w:iCs/>
                <w:sz w:val="22"/>
                <w:szCs w:val="22"/>
              </w:rPr>
            </w:pPr>
            <w:r w:rsidRPr="009B4D5C">
              <w:rPr>
                <w:i/>
                <w:iCs/>
                <w:sz w:val="22"/>
                <w:szCs w:val="22"/>
              </w:rPr>
              <w:lastRenderedPageBreak/>
              <w:t>Custodio</w:t>
            </w:r>
          </w:p>
        </w:tc>
        <w:tc>
          <w:tcPr>
            <w:tcW w:w="1685" w:type="dxa"/>
            <w:shd w:val="clear" w:color="000000" w:fill="FFFFFF"/>
            <w:noWrap/>
            <w:vAlign w:val="center"/>
            <w:hideMark/>
          </w:tcPr>
          <w:p w14:paraId="1A6F64E9" w14:textId="77777777" w:rsidR="00817DB4" w:rsidRPr="009B4D5C" w:rsidRDefault="00817DB4" w:rsidP="00817DB4">
            <w:pPr>
              <w:jc w:val="center"/>
              <w:rPr>
                <w:i/>
                <w:iCs/>
                <w:sz w:val="22"/>
                <w:szCs w:val="22"/>
              </w:rPr>
            </w:pPr>
            <w:r w:rsidRPr="009B4D5C">
              <w:rPr>
                <w:i/>
                <w:iCs/>
                <w:sz w:val="22"/>
                <w:szCs w:val="22"/>
              </w:rPr>
              <w:t>Incentivos</w:t>
            </w:r>
          </w:p>
        </w:tc>
        <w:tc>
          <w:tcPr>
            <w:tcW w:w="2454" w:type="dxa"/>
            <w:shd w:val="clear" w:color="000000" w:fill="FFFFFF"/>
            <w:vAlign w:val="center"/>
            <w:hideMark/>
          </w:tcPr>
          <w:p w14:paraId="3E7F1018" w14:textId="77777777" w:rsidR="00817DB4" w:rsidRPr="009B4D5C" w:rsidRDefault="00817DB4" w:rsidP="00817DB4">
            <w:pPr>
              <w:jc w:val="center"/>
              <w:rPr>
                <w:i/>
                <w:iCs/>
                <w:sz w:val="22"/>
                <w:szCs w:val="22"/>
              </w:rPr>
            </w:pPr>
            <w:r w:rsidRPr="009B4D5C">
              <w:rPr>
                <w:i/>
                <w:iCs/>
                <w:sz w:val="22"/>
                <w:szCs w:val="22"/>
              </w:rPr>
              <w:t>Monto de Comisiones por producto o actividad</w:t>
            </w:r>
          </w:p>
        </w:tc>
        <w:tc>
          <w:tcPr>
            <w:tcW w:w="1248" w:type="dxa"/>
            <w:vMerge/>
            <w:vAlign w:val="center"/>
            <w:hideMark/>
          </w:tcPr>
          <w:p w14:paraId="2B992D34" w14:textId="77777777" w:rsidR="00817DB4" w:rsidRPr="009B4D5C" w:rsidRDefault="00817DB4" w:rsidP="00817DB4">
            <w:pPr>
              <w:jc w:val="center"/>
              <w:rPr>
                <w:i/>
                <w:iCs/>
                <w:sz w:val="22"/>
                <w:szCs w:val="22"/>
              </w:rPr>
            </w:pPr>
          </w:p>
        </w:tc>
        <w:tc>
          <w:tcPr>
            <w:tcW w:w="1342" w:type="dxa"/>
            <w:shd w:val="clear" w:color="000000" w:fill="FFFFFF"/>
            <w:noWrap/>
            <w:vAlign w:val="center"/>
            <w:hideMark/>
          </w:tcPr>
          <w:p w14:paraId="2E67FE7B" w14:textId="77777777" w:rsidR="00817DB4" w:rsidRPr="009B4D5C" w:rsidRDefault="00817DB4" w:rsidP="00817DB4">
            <w:pPr>
              <w:jc w:val="center"/>
              <w:rPr>
                <w:i/>
                <w:iCs/>
                <w:sz w:val="22"/>
                <w:szCs w:val="22"/>
              </w:rPr>
            </w:pPr>
            <w:r w:rsidRPr="009B4D5C">
              <w:rPr>
                <w:i/>
                <w:iCs/>
                <w:sz w:val="22"/>
                <w:szCs w:val="22"/>
              </w:rPr>
              <w:t>2,50%</w:t>
            </w:r>
          </w:p>
        </w:tc>
      </w:tr>
    </w:tbl>
    <w:p w14:paraId="5012F69B" w14:textId="77777777" w:rsidR="00817DB4" w:rsidRPr="009B4D5C" w:rsidRDefault="00817DB4" w:rsidP="00817DB4">
      <w:pPr>
        <w:jc w:val="both"/>
        <w:rPr>
          <w:sz w:val="22"/>
          <w:szCs w:val="22"/>
        </w:rPr>
      </w:pPr>
    </w:p>
    <w:tbl>
      <w:tblPr>
        <w:tblW w:w="8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1843"/>
        <w:gridCol w:w="2194"/>
        <w:gridCol w:w="1480"/>
        <w:gridCol w:w="1425"/>
      </w:tblGrid>
      <w:tr w:rsidR="00817DB4" w:rsidRPr="009B4D5C" w14:paraId="39791B0E" w14:textId="77777777" w:rsidTr="002F2BF6">
        <w:trPr>
          <w:trHeight w:val="20"/>
          <w:tblHeader/>
        </w:trPr>
        <w:tc>
          <w:tcPr>
            <w:tcW w:w="8922" w:type="dxa"/>
            <w:gridSpan w:val="5"/>
            <w:shd w:val="clear" w:color="auto" w:fill="1F3864" w:themeFill="accent1" w:themeFillShade="80"/>
            <w:vAlign w:val="center"/>
          </w:tcPr>
          <w:p w14:paraId="028B6A49"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t>B. SOCIEDADES ADMINISTRADORAS DE FONDOS DE INVERSIÓN</w:t>
            </w:r>
          </w:p>
        </w:tc>
      </w:tr>
      <w:tr w:rsidR="00817DB4" w:rsidRPr="009B4D5C" w14:paraId="6616B520" w14:textId="77777777" w:rsidTr="002F2BF6">
        <w:trPr>
          <w:trHeight w:val="20"/>
          <w:tblHeader/>
        </w:trPr>
        <w:tc>
          <w:tcPr>
            <w:tcW w:w="1980" w:type="dxa"/>
            <w:shd w:val="clear" w:color="auto" w:fill="1F3864" w:themeFill="accent1" w:themeFillShade="80"/>
            <w:vAlign w:val="center"/>
            <w:hideMark/>
          </w:tcPr>
          <w:p w14:paraId="760FCC31"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t>Actividad</w:t>
            </w:r>
          </w:p>
        </w:tc>
        <w:tc>
          <w:tcPr>
            <w:tcW w:w="1843" w:type="dxa"/>
            <w:shd w:val="clear" w:color="auto" w:fill="1F3864" w:themeFill="accent1" w:themeFillShade="80"/>
            <w:noWrap/>
            <w:vAlign w:val="center"/>
            <w:hideMark/>
          </w:tcPr>
          <w:p w14:paraId="5719580E"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t>Dimensión</w:t>
            </w:r>
          </w:p>
        </w:tc>
        <w:tc>
          <w:tcPr>
            <w:tcW w:w="2194" w:type="dxa"/>
            <w:shd w:val="clear" w:color="auto" w:fill="1F3864" w:themeFill="accent1" w:themeFillShade="80"/>
            <w:vAlign w:val="center"/>
            <w:hideMark/>
          </w:tcPr>
          <w:p w14:paraId="0253EC6D"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t>Indicador</w:t>
            </w:r>
          </w:p>
        </w:tc>
        <w:tc>
          <w:tcPr>
            <w:tcW w:w="1480" w:type="dxa"/>
            <w:shd w:val="clear" w:color="auto" w:fill="1F3864" w:themeFill="accent1" w:themeFillShade="80"/>
            <w:noWrap/>
            <w:hideMark/>
          </w:tcPr>
          <w:p w14:paraId="68A1D52E"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t>Ponderador</w:t>
            </w:r>
          </w:p>
          <w:p w14:paraId="237C3FC6"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t>Dimensión</w:t>
            </w:r>
          </w:p>
        </w:tc>
        <w:tc>
          <w:tcPr>
            <w:tcW w:w="1425" w:type="dxa"/>
            <w:shd w:val="clear" w:color="auto" w:fill="1F3864" w:themeFill="accent1" w:themeFillShade="80"/>
            <w:noWrap/>
            <w:vAlign w:val="center"/>
            <w:hideMark/>
          </w:tcPr>
          <w:p w14:paraId="70A75549"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t>Ponderador</w:t>
            </w:r>
          </w:p>
          <w:p w14:paraId="5E7FC0DD"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t>Indicador</w:t>
            </w:r>
          </w:p>
        </w:tc>
      </w:tr>
      <w:tr w:rsidR="00817DB4" w:rsidRPr="009B4D5C" w14:paraId="0706FD32" w14:textId="77777777" w:rsidTr="002F2BF6">
        <w:trPr>
          <w:trHeight w:val="20"/>
        </w:trPr>
        <w:tc>
          <w:tcPr>
            <w:tcW w:w="1980" w:type="dxa"/>
            <w:shd w:val="clear" w:color="000000" w:fill="FFFFFF"/>
            <w:vAlign w:val="center"/>
            <w:hideMark/>
          </w:tcPr>
          <w:p w14:paraId="102F7A79" w14:textId="77777777" w:rsidR="00817DB4" w:rsidRPr="009B4D5C" w:rsidRDefault="00817DB4" w:rsidP="00817DB4">
            <w:pPr>
              <w:jc w:val="center"/>
              <w:rPr>
                <w:i/>
                <w:iCs/>
                <w:sz w:val="22"/>
                <w:szCs w:val="22"/>
              </w:rPr>
            </w:pPr>
            <w:r w:rsidRPr="009B4D5C">
              <w:rPr>
                <w:i/>
                <w:iCs/>
                <w:sz w:val="22"/>
                <w:szCs w:val="22"/>
              </w:rPr>
              <w:t>Fondos del Mercado de Dinero</w:t>
            </w:r>
          </w:p>
        </w:tc>
        <w:tc>
          <w:tcPr>
            <w:tcW w:w="1843" w:type="dxa"/>
            <w:shd w:val="clear" w:color="000000" w:fill="FFFFFF"/>
            <w:noWrap/>
            <w:vAlign w:val="center"/>
            <w:hideMark/>
          </w:tcPr>
          <w:p w14:paraId="087A3260" w14:textId="77777777" w:rsidR="00817DB4" w:rsidRPr="009B4D5C" w:rsidRDefault="00817DB4" w:rsidP="00817DB4">
            <w:pPr>
              <w:jc w:val="center"/>
              <w:rPr>
                <w:i/>
                <w:iCs/>
                <w:sz w:val="22"/>
                <w:szCs w:val="22"/>
              </w:rPr>
            </w:pPr>
            <w:r w:rsidRPr="009B4D5C">
              <w:rPr>
                <w:i/>
                <w:iCs/>
                <w:sz w:val="22"/>
                <w:szCs w:val="22"/>
              </w:rPr>
              <w:t>Tamaño</w:t>
            </w:r>
          </w:p>
        </w:tc>
        <w:tc>
          <w:tcPr>
            <w:tcW w:w="2194" w:type="dxa"/>
            <w:shd w:val="clear" w:color="000000" w:fill="FFFFFF"/>
            <w:vAlign w:val="center"/>
            <w:hideMark/>
          </w:tcPr>
          <w:p w14:paraId="52EB4C1D" w14:textId="77777777" w:rsidR="00817DB4" w:rsidRPr="009B4D5C" w:rsidRDefault="00817DB4" w:rsidP="00817DB4">
            <w:pPr>
              <w:jc w:val="center"/>
              <w:rPr>
                <w:i/>
                <w:iCs/>
                <w:sz w:val="22"/>
                <w:szCs w:val="22"/>
              </w:rPr>
            </w:pPr>
            <w:r w:rsidRPr="009B4D5C">
              <w:rPr>
                <w:i/>
                <w:iCs/>
                <w:sz w:val="22"/>
                <w:szCs w:val="22"/>
              </w:rPr>
              <w:t>Total de activos netos gestionados</w:t>
            </w:r>
          </w:p>
        </w:tc>
        <w:tc>
          <w:tcPr>
            <w:tcW w:w="1480" w:type="dxa"/>
            <w:vMerge w:val="restart"/>
            <w:shd w:val="clear" w:color="000000" w:fill="FFFFFF"/>
            <w:vAlign w:val="center"/>
            <w:hideMark/>
          </w:tcPr>
          <w:p w14:paraId="27D3DA11" w14:textId="77777777" w:rsidR="00817DB4" w:rsidRPr="009B4D5C" w:rsidRDefault="00817DB4" w:rsidP="00817DB4">
            <w:pPr>
              <w:jc w:val="center"/>
              <w:rPr>
                <w:i/>
                <w:iCs/>
                <w:sz w:val="22"/>
                <w:szCs w:val="22"/>
              </w:rPr>
            </w:pPr>
            <w:r w:rsidRPr="009B4D5C">
              <w:rPr>
                <w:i/>
                <w:iCs/>
                <w:sz w:val="22"/>
                <w:szCs w:val="22"/>
              </w:rPr>
              <w:t>20%</w:t>
            </w:r>
          </w:p>
        </w:tc>
        <w:tc>
          <w:tcPr>
            <w:tcW w:w="1425" w:type="dxa"/>
            <w:shd w:val="clear" w:color="000000" w:fill="FFFFFF"/>
            <w:noWrap/>
            <w:vAlign w:val="center"/>
            <w:hideMark/>
          </w:tcPr>
          <w:p w14:paraId="05617660" w14:textId="77777777" w:rsidR="00817DB4" w:rsidRPr="009B4D5C" w:rsidRDefault="00817DB4" w:rsidP="00817DB4">
            <w:pPr>
              <w:jc w:val="center"/>
              <w:rPr>
                <w:i/>
                <w:iCs/>
                <w:sz w:val="22"/>
                <w:szCs w:val="22"/>
              </w:rPr>
            </w:pPr>
            <w:r w:rsidRPr="009B4D5C">
              <w:rPr>
                <w:i/>
                <w:iCs/>
                <w:sz w:val="22"/>
                <w:szCs w:val="22"/>
              </w:rPr>
              <w:t>10%</w:t>
            </w:r>
          </w:p>
        </w:tc>
      </w:tr>
      <w:tr w:rsidR="00817DB4" w:rsidRPr="009B4D5C" w14:paraId="685C9742" w14:textId="77777777" w:rsidTr="002F2BF6">
        <w:trPr>
          <w:trHeight w:val="20"/>
        </w:trPr>
        <w:tc>
          <w:tcPr>
            <w:tcW w:w="1980" w:type="dxa"/>
            <w:shd w:val="clear" w:color="000000" w:fill="FFFFFF"/>
            <w:vAlign w:val="center"/>
            <w:hideMark/>
          </w:tcPr>
          <w:p w14:paraId="322C231C" w14:textId="77777777" w:rsidR="00817DB4" w:rsidRPr="009B4D5C" w:rsidRDefault="00817DB4" w:rsidP="00817DB4">
            <w:pPr>
              <w:jc w:val="center"/>
              <w:rPr>
                <w:i/>
                <w:iCs/>
                <w:sz w:val="22"/>
                <w:szCs w:val="22"/>
              </w:rPr>
            </w:pPr>
            <w:r w:rsidRPr="009B4D5C">
              <w:rPr>
                <w:i/>
                <w:iCs/>
                <w:sz w:val="22"/>
                <w:szCs w:val="22"/>
              </w:rPr>
              <w:t>Fondos Inmobiliarios</w:t>
            </w:r>
          </w:p>
        </w:tc>
        <w:tc>
          <w:tcPr>
            <w:tcW w:w="1843" w:type="dxa"/>
            <w:shd w:val="clear" w:color="000000" w:fill="FFFFFF"/>
            <w:noWrap/>
            <w:vAlign w:val="center"/>
            <w:hideMark/>
          </w:tcPr>
          <w:p w14:paraId="624BA8A2" w14:textId="77777777" w:rsidR="00817DB4" w:rsidRPr="009B4D5C" w:rsidRDefault="00817DB4" w:rsidP="00817DB4">
            <w:pPr>
              <w:jc w:val="center"/>
              <w:rPr>
                <w:i/>
                <w:iCs/>
                <w:sz w:val="22"/>
                <w:szCs w:val="22"/>
              </w:rPr>
            </w:pPr>
            <w:r w:rsidRPr="009B4D5C">
              <w:rPr>
                <w:i/>
                <w:iCs/>
                <w:sz w:val="22"/>
                <w:szCs w:val="22"/>
              </w:rPr>
              <w:t>Tamaño</w:t>
            </w:r>
          </w:p>
        </w:tc>
        <w:tc>
          <w:tcPr>
            <w:tcW w:w="2194" w:type="dxa"/>
            <w:shd w:val="clear" w:color="000000" w:fill="FFFFFF"/>
            <w:vAlign w:val="center"/>
            <w:hideMark/>
          </w:tcPr>
          <w:p w14:paraId="0B91494A" w14:textId="77777777" w:rsidR="00817DB4" w:rsidRPr="009B4D5C" w:rsidRDefault="00817DB4" w:rsidP="00817DB4">
            <w:pPr>
              <w:jc w:val="center"/>
              <w:rPr>
                <w:i/>
                <w:iCs/>
                <w:sz w:val="22"/>
                <w:szCs w:val="22"/>
              </w:rPr>
            </w:pPr>
            <w:r w:rsidRPr="009B4D5C">
              <w:rPr>
                <w:i/>
                <w:iCs/>
                <w:sz w:val="22"/>
                <w:szCs w:val="22"/>
              </w:rPr>
              <w:t>Total de activos netos gestionados</w:t>
            </w:r>
          </w:p>
        </w:tc>
        <w:tc>
          <w:tcPr>
            <w:tcW w:w="1480" w:type="dxa"/>
            <w:vMerge/>
            <w:vAlign w:val="center"/>
            <w:hideMark/>
          </w:tcPr>
          <w:p w14:paraId="5FB547B7" w14:textId="77777777" w:rsidR="00817DB4" w:rsidRPr="009B4D5C" w:rsidRDefault="00817DB4" w:rsidP="00817DB4">
            <w:pPr>
              <w:jc w:val="center"/>
              <w:rPr>
                <w:i/>
                <w:iCs/>
                <w:sz w:val="22"/>
                <w:szCs w:val="22"/>
              </w:rPr>
            </w:pPr>
          </w:p>
        </w:tc>
        <w:tc>
          <w:tcPr>
            <w:tcW w:w="1425" w:type="dxa"/>
            <w:shd w:val="clear" w:color="000000" w:fill="FFFFFF"/>
            <w:noWrap/>
            <w:vAlign w:val="center"/>
            <w:hideMark/>
          </w:tcPr>
          <w:p w14:paraId="488D1B49" w14:textId="77777777" w:rsidR="00817DB4" w:rsidRPr="009B4D5C" w:rsidRDefault="00817DB4" w:rsidP="00817DB4">
            <w:pPr>
              <w:jc w:val="center"/>
              <w:rPr>
                <w:i/>
                <w:iCs/>
                <w:sz w:val="22"/>
                <w:szCs w:val="22"/>
              </w:rPr>
            </w:pPr>
            <w:r w:rsidRPr="009B4D5C">
              <w:rPr>
                <w:i/>
                <w:iCs/>
                <w:sz w:val="22"/>
                <w:szCs w:val="22"/>
              </w:rPr>
              <w:t>10%</w:t>
            </w:r>
          </w:p>
        </w:tc>
      </w:tr>
      <w:tr w:rsidR="00817DB4" w:rsidRPr="009B4D5C" w14:paraId="1FFFBDE8" w14:textId="77777777" w:rsidTr="002F2BF6">
        <w:trPr>
          <w:trHeight w:val="20"/>
        </w:trPr>
        <w:tc>
          <w:tcPr>
            <w:tcW w:w="1980" w:type="dxa"/>
            <w:shd w:val="clear" w:color="000000" w:fill="FFFFFF"/>
            <w:vAlign w:val="center"/>
            <w:hideMark/>
          </w:tcPr>
          <w:p w14:paraId="4323B3B7" w14:textId="77777777" w:rsidR="00817DB4" w:rsidRPr="009B4D5C" w:rsidRDefault="00817DB4" w:rsidP="00817DB4">
            <w:pPr>
              <w:jc w:val="center"/>
              <w:rPr>
                <w:i/>
                <w:iCs/>
                <w:sz w:val="22"/>
                <w:szCs w:val="22"/>
              </w:rPr>
            </w:pPr>
            <w:r w:rsidRPr="009B4D5C">
              <w:rPr>
                <w:i/>
                <w:iCs/>
                <w:sz w:val="22"/>
                <w:szCs w:val="22"/>
              </w:rPr>
              <w:t>Fondos del Mercado de Dinero</w:t>
            </w:r>
          </w:p>
        </w:tc>
        <w:tc>
          <w:tcPr>
            <w:tcW w:w="1843" w:type="dxa"/>
            <w:shd w:val="clear" w:color="000000" w:fill="FFFFFF"/>
            <w:noWrap/>
            <w:vAlign w:val="center"/>
            <w:hideMark/>
          </w:tcPr>
          <w:p w14:paraId="4BB24D2B" w14:textId="77777777" w:rsidR="00817DB4" w:rsidRPr="009B4D5C" w:rsidRDefault="00817DB4" w:rsidP="00817DB4">
            <w:pPr>
              <w:jc w:val="center"/>
              <w:rPr>
                <w:i/>
                <w:iCs/>
                <w:sz w:val="22"/>
                <w:szCs w:val="22"/>
              </w:rPr>
            </w:pPr>
            <w:r w:rsidRPr="009B4D5C">
              <w:rPr>
                <w:i/>
                <w:iCs/>
                <w:sz w:val="22"/>
                <w:szCs w:val="22"/>
              </w:rPr>
              <w:t>Interconexión</w:t>
            </w:r>
          </w:p>
        </w:tc>
        <w:tc>
          <w:tcPr>
            <w:tcW w:w="2194" w:type="dxa"/>
            <w:shd w:val="clear" w:color="000000" w:fill="FFFFFF"/>
            <w:vAlign w:val="center"/>
            <w:hideMark/>
          </w:tcPr>
          <w:p w14:paraId="124754B9" w14:textId="77777777" w:rsidR="00817DB4" w:rsidRPr="009B4D5C" w:rsidRDefault="00817DB4" w:rsidP="00817DB4">
            <w:pPr>
              <w:jc w:val="center"/>
              <w:rPr>
                <w:i/>
                <w:iCs/>
                <w:sz w:val="22"/>
                <w:szCs w:val="22"/>
              </w:rPr>
            </w:pPr>
            <w:r w:rsidRPr="009B4D5C">
              <w:rPr>
                <w:i/>
                <w:iCs/>
                <w:sz w:val="22"/>
                <w:szCs w:val="22"/>
              </w:rPr>
              <w:t>Fondos del mercado de dinero como inversionistas en papel comercial emitidos por entidades financieras</w:t>
            </w:r>
          </w:p>
        </w:tc>
        <w:tc>
          <w:tcPr>
            <w:tcW w:w="1480" w:type="dxa"/>
            <w:vMerge w:val="restart"/>
            <w:shd w:val="clear" w:color="000000" w:fill="FFFFFF"/>
            <w:vAlign w:val="center"/>
            <w:hideMark/>
          </w:tcPr>
          <w:p w14:paraId="5589F879" w14:textId="77777777" w:rsidR="00817DB4" w:rsidRPr="009B4D5C" w:rsidRDefault="00817DB4" w:rsidP="00817DB4">
            <w:pPr>
              <w:jc w:val="center"/>
              <w:rPr>
                <w:i/>
                <w:iCs/>
                <w:sz w:val="22"/>
                <w:szCs w:val="22"/>
              </w:rPr>
            </w:pPr>
            <w:r w:rsidRPr="009B4D5C">
              <w:rPr>
                <w:i/>
                <w:iCs/>
                <w:sz w:val="22"/>
                <w:szCs w:val="22"/>
              </w:rPr>
              <w:t>35%</w:t>
            </w:r>
          </w:p>
        </w:tc>
        <w:tc>
          <w:tcPr>
            <w:tcW w:w="1425" w:type="dxa"/>
            <w:shd w:val="clear" w:color="000000" w:fill="FFFFFF"/>
            <w:noWrap/>
            <w:vAlign w:val="center"/>
            <w:hideMark/>
          </w:tcPr>
          <w:p w14:paraId="290E2DCC" w14:textId="77777777" w:rsidR="00817DB4" w:rsidRPr="009B4D5C" w:rsidRDefault="00817DB4" w:rsidP="00817DB4">
            <w:pPr>
              <w:jc w:val="center"/>
              <w:rPr>
                <w:i/>
                <w:iCs/>
                <w:sz w:val="22"/>
                <w:szCs w:val="22"/>
              </w:rPr>
            </w:pPr>
            <w:r w:rsidRPr="009B4D5C">
              <w:rPr>
                <w:i/>
                <w:iCs/>
                <w:sz w:val="22"/>
                <w:szCs w:val="22"/>
              </w:rPr>
              <w:t>8,75%</w:t>
            </w:r>
          </w:p>
        </w:tc>
      </w:tr>
      <w:tr w:rsidR="00817DB4" w:rsidRPr="009B4D5C" w14:paraId="3CFFF93D" w14:textId="77777777" w:rsidTr="002F2BF6">
        <w:trPr>
          <w:trHeight w:val="20"/>
        </w:trPr>
        <w:tc>
          <w:tcPr>
            <w:tcW w:w="1980" w:type="dxa"/>
            <w:shd w:val="clear" w:color="000000" w:fill="FFFFFF"/>
            <w:vAlign w:val="center"/>
            <w:hideMark/>
          </w:tcPr>
          <w:p w14:paraId="31253C1B" w14:textId="77777777" w:rsidR="00817DB4" w:rsidRPr="009B4D5C" w:rsidRDefault="00817DB4" w:rsidP="00817DB4">
            <w:pPr>
              <w:jc w:val="center"/>
              <w:rPr>
                <w:i/>
                <w:iCs/>
                <w:sz w:val="22"/>
                <w:szCs w:val="22"/>
              </w:rPr>
            </w:pPr>
            <w:r w:rsidRPr="009B4D5C">
              <w:rPr>
                <w:i/>
                <w:iCs/>
                <w:sz w:val="22"/>
                <w:szCs w:val="22"/>
              </w:rPr>
              <w:t>Fondos del Mercado de Dinero</w:t>
            </w:r>
          </w:p>
        </w:tc>
        <w:tc>
          <w:tcPr>
            <w:tcW w:w="1843" w:type="dxa"/>
            <w:shd w:val="clear" w:color="000000" w:fill="FFFFFF"/>
            <w:noWrap/>
            <w:vAlign w:val="center"/>
            <w:hideMark/>
          </w:tcPr>
          <w:p w14:paraId="7C7FB4F1" w14:textId="77777777" w:rsidR="00817DB4" w:rsidRPr="009B4D5C" w:rsidRDefault="00817DB4" w:rsidP="00817DB4">
            <w:pPr>
              <w:jc w:val="center"/>
              <w:rPr>
                <w:i/>
                <w:iCs/>
                <w:sz w:val="22"/>
                <w:szCs w:val="22"/>
              </w:rPr>
            </w:pPr>
            <w:r w:rsidRPr="009B4D5C">
              <w:rPr>
                <w:i/>
                <w:iCs/>
                <w:sz w:val="22"/>
                <w:szCs w:val="22"/>
              </w:rPr>
              <w:t>Interconexión</w:t>
            </w:r>
          </w:p>
        </w:tc>
        <w:tc>
          <w:tcPr>
            <w:tcW w:w="2194" w:type="dxa"/>
            <w:shd w:val="clear" w:color="000000" w:fill="FFFFFF"/>
            <w:vAlign w:val="center"/>
            <w:hideMark/>
          </w:tcPr>
          <w:p w14:paraId="4A4D7949" w14:textId="77777777" w:rsidR="00817DB4" w:rsidRPr="009B4D5C" w:rsidRDefault="00817DB4" w:rsidP="00817DB4">
            <w:pPr>
              <w:jc w:val="center"/>
              <w:rPr>
                <w:i/>
                <w:iCs/>
                <w:sz w:val="22"/>
                <w:szCs w:val="22"/>
              </w:rPr>
            </w:pPr>
            <w:r w:rsidRPr="009B4D5C">
              <w:rPr>
                <w:i/>
                <w:iCs/>
                <w:sz w:val="22"/>
                <w:szCs w:val="22"/>
              </w:rPr>
              <w:t>Inversión de los fondos de inversión en el saldo abierto a plazo</w:t>
            </w:r>
          </w:p>
        </w:tc>
        <w:tc>
          <w:tcPr>
            <w:tcW w:w="1480" w:type="dxa"/>
            <w:vMerge/>
            <w:vAlign w:val="center"/>
            <w:hideMark/>
          </w:tcPr>
          <w:p w14:paraId="1932C98D" w14:textId="77777777" w:rsidR="00817DB4" w:rsidRPr="009B4D5C" w:rsidRDefault="00817DB4" w:rsidP="00817DB4">
            <w:pPr>
              <w:jc w:val="center"/>
              <w:rPr>
                <w:i/>
                <w:iCs/>
                <w:sz w:val="22"/>
                <w:szCs w:val="22"/>
              </w:rPr>
            </w:pPr>
          </w:p>
        </w:tc>
        <w:tc>
          <w:tcPr>
            <w:tcW w:w="1425" w:type="dxa"/>
            <w:shd w:val="clear" w:color="000000" w:fill="FFFFFF"/>
            <w:noWrap/>
            <w:vAlign w:val="center"/>
            <w:hideMark/>
          </w:tcPr>
          <w:p w14:paraId="4C6AEC81" w14:textId="77777777" w:rsidR="00817DB4" w:rsidRPr="009B4D5C" w:rsidRDefault="00817DB4" w:rsidP="00817DB4">
            <w:pPr>
              <w:jc w:val="center"/>
              <w:rPr>
                <w:i/>
                <w:iCs/>
                <w:sz w:val="22"/>
                <w:szCs w:val="22"/>
              </w:rPr>
            </w:pPr>
            <w:r w:rsidRPr="009B4D5C">
              <w:rPr>
                <w:i/>
                <w:iCs/>
                <w:sz w:val="22"/>
                <w:szCs w:val="22"/>
              </w:rPr>
              <w:t>8,75%</w:t>
            </w:r>
          </w:p>
        </w:tc>
      </w:tr>
      <w:tr w:rsidR="00817DB4" w:rsidRPr="009B4D5C" w14:paraId="34C0D1CA" w14:textId="77777777" w:rsidTr="002F2BF6">
        <w:trPr>
          <w:trHeight w:val="20"/>
        </w:trPr>
        <w:tc>
          <w:tcPr>
            <w:tcW w:w="1980" w:type="dxa"/>
            <w:shd w:val="clear" w:color="000000" w:fill="FFFFFF"/>
            <w:vAlign w:val="center"/>
            <w:hideMark/>
          </w:tcPr>
          <w:p w14:paraId="430973F9" w14:textId="77777777" w:rsidR="00817DB4" w:rsidRPr="009B4D5C" w:rsidRDefault="00817DB4" w:rsidP="00817DB4">
            <w:pPr>
              <w:jc w:val="center"/>
              <w:rPr>
                <w:i/>
                <w:iCs/>
                <w:sz w:val="22"/>
                <w:szCs w:val="22"/>
              </w:rPr>
            </w:pPr>
            <w:r w:rsidRPr="009B4D5C">
              <w:rPr>
                <w:i/>
                <w:iCs/>
                <w:sz w:val="22"/>
                <w:szCs w:val="22"/>
              </w:rPr>
              <w:t>Fondos del Mercado de Dinero</w:t>
            </w:r>
          </w:p>
        </w:tc>
        <w:tc>
          <w:tcPr>
            <w:tcW w:w="1843" w:type="dxa"/>
            <w:shd w:val="clear" w:color="000000" w:fill="FFFFFF"/>
            <w:noWrap/>
            <w:vAlign w:val="center"/>
            <w:hideMark/>
          </w:tcPr>
          <w:p w14:paraId="5CB2F6FD" w14:textId="77777777" w:rsidR="00817DB4" w:rsidRPr="009B4D5C" w:rsidRDefault="00817DB4" w:rsidP="00817DB4">
            <w:pPr>
              <w:jc w:val="center"/>
              <w:rPr>
                <w:i/>
                <w:iCs/>
                <w:sz w:val="22"/>
                <w:szCs w:val="22"/>
              </w:rPr>
            </w:pPr>
            <w:r w:rsidRPr="009B4D5C">
              <w:rPr>
                <w:i/>
                <w:iCs/>
                <w:sz w:val="22"/>
                <w:szCs w:val="22"/>
              </w:rPr>
              <w:t>Interconexión</w:t>
            </w:r>
          </w:p>
        </w:tc>
        <w:tc>
          <w:tcPr>
            <w:tcW w:w="2194" w:type="dxa"/>
            <w:shd w:val="clear" w:color="000000" w:fill="FFFFFF"/>
            <w:vAlign w:val="center"/>
            <w:hideMark/>
          </w:tcPr>
          <w:p w14:paraId="58BA3874" w14:textId="77777777" w:rsidR="00817DB4" w:rsidRPr="009B4D5C" w:rsidRDefault="00817DB4" w:rsidP="00817DB4">
            <w:pPr>
              <w:jc w:val="center"/>
              <w:rPr>
                <w:i/>
                <w:iCs/>
                <w:sz w:val="22"/>
                <w:szCs w:val="22"/>
              </w:rPr>
            </w:pPr>
            <w:r w:rsidRPr="009B4D5C">
              <w:rPr>
                <w:i/>
                <w:iCs/>
                <w:sz w:val="22"/>
                <w:szCs w:val="22"/>
              </w:rPr>
              <w:t>Saldo de Cuentas corrientes de fondos del mercado de dinero en el Sistema Bancario Nacional</w:t>
            </w:r>
          </w:p>
        </w:tc>
        <w:tc>
          <w:tcPr>
            <w:tcW w:w="1480" w:type="dxa"/>
            <w:vMerge/>
            <w:vAlign w:val="center"/>
            <w:hideMark/>
          </w:tcPr>
          <w:p w14:paraId="7B148D3C" w14:textId="77777777" w:rsidR="00817DB4" w:rsidRPr="009B4D5C" w:rsidRDefault="00817DB4" w:rsidP="00817DB4">
            <w:pPr>
              <w:jc w:val="center"/>
              <w:rPr>
                <w:i/>
                <w:iCs/>
                <w:sz w:val="22"/>
                <w:szCs w:val="22"/>
              </w:rPr>
            </w:pPr>
          </w:p>
        </w:tc>
        <w:tc>
          <w:tcPr>
            <w:tcW w:w="1425" w:type="dxa"/>
            <w:shd w:val="clear" w:color="000000" w:fill="FFFFFF"/>
            <w:noWrap/>
            <w:vAlign w:val="center"/>
            <w:hideMark/>
          </w:tcPr>
          <w:p w14:paraId="5E7B217E" w14:textId="77777777" w:rsidR="00817DB4" w:rsidRPr="009B4D5C" w:rsidRDefault="00817DB4" w:rsidP="00817DB4">
            <w:pPr>
              <w:jc w:val="center"/>
              <w:rPr>
                <w:i/>
                <w:iCs/>
                <w:sz w:val="22"/>
                <w:szCs w:val="22"/>
              </w:rPr>
            </w:pPr>
            <w:r w:rsidRPr="009B4D5C">
              <w:rPr>
                <w:i/>
                <w:iCs/>
                <w:sz w:val="22"/>
                <w:szCs w:val="22"/>
              </w:rPr>
              <w:t>8,75%</w:t>
            </w:r>
          </w:p>
        </w:tc>
      </w:tr>
      <w:tr w:rsidR="00817DB4" w:rsidRPr="009B4D5C" w14:paraId="7971D379" w14:textId="77777777" w:rsidTr="002F2BF6">
        <w:trPr>
          <w:trHeight w:val="20"/>
        </w:trPr>
        <w:tc>
          <w:tcPr>
            <w:tcW w:w="1980" w:type="dxa"/>
            <w:shd w:val="clear" w:color="000000" w:fill="FFFFFF"/>
            <w:vAlign w:val="center"/>
            <w:hideMark/>
          </w:tcPr>
          <w:p w14:paraId="643D0540" w14:textId="77777777" w:rsidR="00817DB4" w:rsidRPr="009B4D5C" w:rsidRDefault="00817DB4" w:rsidP="00817DB4">
            <w:pPr>
              <w:jc w:val="center"/>
              <w:rPr>
                <w:i/>
                <w:iCs/>
                <w:sz w:val="22"/>
                <w:szCs w:val="22"/>
              </w:rPr>
            </w:pPr>
            <w:r w:rsidRPr="009B4D5C">
              <w:rPr>
                <w:i/>
                <w:iCs/>
                <w:sz w:val="22"/>
                <w:szCs w:val="22"/>
              </w:rPr>
              <w:t>Fondos Inmobiliarios</w:t>
            </w:r>
          </w:p>
        </w:tc>
        <w:tc>
          <w:tcPr>
            <w:tcW w:w="1843" w:type="dxa"/>
            <w:shd w:val="clear" w:color="000000" w:fill="FFFFFF"/>
            <w:noWrap/>
            <w:vAlign w:val="center"/>
            <w:hideMark/>
          </w:tcPr>
          <w:p w14:paraId="13FF6469" w14:textId="77777777" w:rsidR="00817DB4" w:rsidRPr="009B4D5C" w:rsidRDefault="00817DB4" w:rsidP="00817DB4">
            <w:pPr>
              <w:jc w:val="center"/>
              <w:rPr>
                <w:i/>
                <w:iCs/>
                <w:sz w:val="22"/>
                <w:szCs w:val="22"/>
              </w:rPr>
            </w:pPr>
            <w:r w:rsidRPr="009B4D5C">
              <w:rPr>
                <w:i/>
                <w:iCs/>
                <w:sz w:val="22"/>
                <w:szCs w:val="22"/>
              </w:rPr>
              <w:t>Interconexión</w:t>
            </w:r>
          </w:p>
        </w:tc>
        <w:tc>
          <w:tcPr>
            <w:tcW w:w="2194" w:type="dxa"/>
            <w:shd w:val="clear" w:color="000000" w:fill="FFFFFF"/>
            <w:vAlign w:val="center"/>
            <w:hideMark/>
          </w:tcPr>
          <w:p w14:paraId="47BBC2CC" w14:textId="77777777" w:rsidR="00817DB4" w:rsidRPr="009B4D5C" w:rsidRDefault="00817DB4" w:rsidP="00817DB4">
            <w:pPr>
              <w:jc w:val="center"/>
              <w:rPr>
                <w:i/>
                <w:iCs/>
                <w:sz w:val="22"/>
                <w:szCs w:val="22"/>
              </w:rPr>
            </w:pPr>
            <w:r w:rsidRPr="009B4D5C">
              <w:rPr>
                <w:i/>
                <w:iCs/>
                <w:sz w:val="22"/>
                <w:szCs w:val="22"/>
              </w:rPr>
              <w:t>Participación de Inversionistas institucionales en Fondos Inmobiliarios</w:t>
            </w:r>
          </w:p>
        </w:tc>
        <w:tc>
          <w:tcPr>
            <w:tcW w:w="1480" w:type="dxa"/>
            <w:vMerge/>
            <w:vAlign w:val="center"/>
            <w:hideMark/>
          </w:tcPr>
          <w:p w14:paraId="092CDDDC" w14:textId="77777777" w:rsidR="00817DB4" w:rsidRPr="009B4D5C" w:rsidRDefault="00817DB4" w:rsidP="00817DB4">
            <w:pPr>
              <w:jc w:val="center"/>
              <w:rPr>
                <w:i/>
                <w:iCs/>
                <w:sz w:val="22"/>
                <w:szCs w:val="22"/>
              </w:rPr>
            </w:pPr>
          </w:p>
        </w:tc>
        <w:tc>
          <w:tcPr>
            <w:tcW w:w="1425" w:type="dxa"/>
            <w:shd w:val="clear" w:color="000000" w:fill="FFFFFF"/>
            <w:noWrap/>
            <w:vAlign w:val="center"/>
            <w:hideMark/>
          </w:tcPr>
          <w:p w14:paraId="1947FAEB" w14:textId="77777777" w:rsidR="00817DB4" w:rsidRPr="009B4D5C" w:rsidRDefault="00817DB4" w:rsidP="00817DB4">
            <w:pPr>
              <w:jc w:val="center"/>
              <w:rPr>
                <w:i/>
                <w:iCs/>
                <w:sz w:val="22"/>
                <w:szCs w:val="22"/>
              </w:rPr>
            </w:pPr>
            <w:r w:rsidRPr="009B4D5C">
              <w:rPr>
                <w:i/>
                <w:iCs/>
                <w:sz w:val="22"/>
                <w:szCs w:val="22"/>
              </w:rPr>
              <w:t>8,75%</w:t>
            </w:r>
          </w:p>
        </w:tc>
      </w:tr>
      <w:tr w:rsidR="00817DB4" w:rsidRPr="009B4D5C" w14:paraId="2C967816" w14:textId="77777777" w:rsidTr="002F2BF6">
        <w:trPr>
          <w:trHeight w:val="20"/>
        </w:trPr>
        <w:tc>
          <w:tcPr>
            <w:tcW w:w="1980" w:type="dxa"/>
            <w:shd w:val="clear" w:color="000000" w:fill="FFFFFF"/>
            <w:vAlign w:val="center"/>
            <w:hideMark/>
          </w:tcPr>
          <w:p w14:paraId="1ECABB73" w14:textId="77777777" w:rsidR="00817DB4" w:rsidRPr="009B4D5C" w:rsidRDefault="00817DB4" w:rsidP="00817DB4">
            <w:pPr>
              <w:jc w:val="center"/>
              <w:rPr>
                <w:i/>
                <w:iCs/>
                <w:sz w:val="22"/>
                <w:szCs w:val="22"/>
              </w:rPr>
            </w:pPr>
            <w:r w:rsidRPr="009B4D5C">
              <w:rPr>
                <w:i/>
                <w:iCs/>
                <w:sz w:val="22"/>
                <w:szCs w:val="22"/>
              </w:rPr>
              <w:t>Fondos del Mercado de Dinero</w:t>
            </w:r>
          </w:p>
        </w:tc>
        <w:tc>
          <w:tcPr>
            <w:tcW w:w="1843" w:type="dxa"/>
            <w:shd w:val="clear" w:color="000000" w:fill="FFFFFF"/>
            <w:noWrap/>
            <w:vAlign w:val="center"/>
            <w:hideMark/>
          </w:tcPr>
          <w:p w14:paraId="6285F33B" w14:textId="77777777" w:rsidR="00817DB4" w:rsidRPr="009B4D5C" w:rsidRDefault="00817DB4" w:rsidP="00817DB4">
            <w:pPr>
              <w:jc w:val="center"/>
              <w:rPr>
                <w:i/>
                <w:iCs/>
                <w:sz w:val="22"/>
                <w:szCs w:val="22"/>
              </w:rPr>
            </w:pPr>
            <w:r w:rsidRPr="009B4D5C">
              <w:rPr>
                <w:i/>
                <w:iCs/>
                <w:sz w:val="22"/>
                <w:szCs w:val="22"/>
              </w:rPr>
              <w:t>Grado de Sustitución</w:t>
            </w:r>
          </w:p>
        </w:tc>
        <w:tc>
          <w:tcPr>
            <w:tcW w:w="2194" w:type="dxa"/>
            <w:shd w:val="clear" w:color="000000" w:fill="FFFFFF"/>
            <w:vAlign w:val="center"/>
            <w:hideMark/>
          </w:tcPr>
          <w:p w14:paraId="47D11113" w14:textId="77777777" w:rsidR="00817DB4" w:rsidRPr="009B4D5C" w:rsidRDefault="00817DB4" w:rsidP="00817DB4">
            <w:pPr>
              <w:jc w:val="center"/>
              <w:rPr>
                <w:i/>
                <w:iCs/>
                <w:sz w:val="22"/>
                <w:szCs w:val="22"/>
              </w:rPr>
            </w:pPr>
            <w:r w:rsidRPr="009B4D5C">
              <w:rPr>
                <w:i/>
                <w:iCs/>
                <w:sz w:val="22"/>
                <w:szCs w:val="22"/>
              </w:rPr>
              <w:t>Activo neto del Fondos de inversión con respecto al tamaño del mercado</w:t>
            </w:r>
          </w:p>
        </w:tc>
        <w:tc>
          <w:tcPr>
            <w:tcW w:w="1480" w:type="dxa"/>
            <w:shd w:val="clear" w:color="000000" w:fill="FFFFFF"/>
            <w:noWrap/>
            <w:vAlign w:val="center"/>
            <w:hideMark/>
          </w:tcPr>
          <w:p w14:paraId="3A88DC4C" w14:textId="77777777" w:rsidR="00817DB4" w:rsidRPr="009B4D5C" w:rsidRDefault="00817DB4" w:rsidP="00817DB4">
            <w:pPr>
              <w:jc w:val="center"/>
              <w:rPr>
                <w:i/>
                <w:iCs/>
                <w:sz w:val="22"/>
                <w:szCs w:val="22"/>
              </w:rPr>
            </w:pPr>
            <w:r w:rsidRPr="009B4D5C">
              <w:rPr>
                <w:i/>
                <w:iCs/>
                <w:sz w:val="22"/>
                <w:szCs w:val="22"/>
              </w:rPr>
              <w:t>15%</w:t>
            </w:r>
          </w:p>
        </w:tc>
        <w:tc>
          <w:tcPr>
            <w:tcW w:w="1425" w:type="dxa"/>
            <w:shd w:val="clear" w:color="000000" w:fill="FFFFFF"/>
            <w:noWrap/>
            <w:vAlign w:val="center"/>
            <w:hideMark/>
          </w:tcPr>
          <w:p w14:paraId="2F7813A5" w14:textId="77777777" w:rsidR="00817DB4" w:rsidRPr="009B4D5C" w:rsidRDefault="00817DB4" w:rsidP="00817DB4">
            <w:pPr>
              <w:jc w:val="center"/>
              <w:rPr>
                <w:i/>
                <w:iCs/>
                <w:sz w:val="22"/>
                <w:szCs w:val="22"/>
              </w:rPr>
            </w:pPr>
            <w:r w:rsidRPr="009B4D5C">
              <w:rPr>
                <w:i/>
                <w:iCs/>
                <w:sz w:val="22"/>
                <w:szCs w:val="22"/>
              </w:rPr>
              <w:t>15%</w:t>
            </w:r>
          </w:p>
        </w:tc>
      </w:tr>
      <w:tr w:rsidR="00817DB4" w:rsidRPr="009B4D5C" w14:paraId="25448038" w14:textId="77777777" w:rsidTr="002F2BF6">
        <w:trPr>
          <w:trHeight w:val="20"/>
        </w:trPr>
        <w:tc>
          <w:tcPr>
            <w:tcW w:w="1980" w:type="dxa"/>
            <w:shd w:val="clear" w:color="000000" w:fill="FFFFFF"/>
            <w:vAlign w:val="center"/>
            <w:hideMark/>
          </w:tcPr>
          <w:p w14:paraId="2389A0FC" w14:textId="77777777" w:rsidR="00817DB4" w:rsidRPr="009B4D5C" w:rsidRDefault="00817DB4" w:rsidP="00817DB4">
            <w:pPr>
              <w:jc w:val="center"/>
              <w:rPr>
                <w:i/>
                <w:iCs/>
                <w:sz w:val="22"/>
                <w:szCs w:val="22"/>
              </w:rPr>
            </w:pPr>
            <w:r w:rsidRPr="009B4D5C">
              <w:rPr>
                <w:i/>
                <w:iCs/>
                <w:sz w:val="22"/>
                <w:szCs w:val="22"/>
              </w:rPr>
              <w:t>Fondos del Mercado de Dinero</w:t>
            </w:r>
          </w:p>
        </w:tc>
        <w:tc>
          <w:tcPr>
            <w:tcW w:w="1843" w:type="dxa"/>
            <w:shd w:val="clear" w:color="000000" w:fill="FFFFFF"/>
            <w:noWrap/>
            <w:vAlign w:val="center"/>
            <w:hideMark/>
          </w:tcPr>
          <w:p w14:paraId="71F1B7D7" w14:textId="77777777" w:rsidR="00817DB4" w:rsidRPr="009B4D5C" w:rsidRDefault="00817DB4" w:rsidP="00817DB4">
            <w:pPr>
              <w:jc w:val="center"/>
              <w:rPr>
                <w:i/>
                <w:iCs/>
                <w:sz w:val="22"/>
                <w:szCs w:val="22"/>
              </w:rPr>
            </w:pPr>
            <w:r w:rsidRPr="009B4D5C">
              <w:rPr>
                <w:i/>
                <w:iCs/>
                <w:sz w:val="22"/>
                <w:szCs w:val="22"/>
              </w:rPr>
              <w:t>Complejidad</w:t>
            </w:r>
          </w:p>
        </w:tc>
        <w:tc>
          <w:tcPr>
            <w:tcW w:w="2194" w:type="dxa"/>
            <w:shd w:val="clear" w:color="000000" w:fill="FFFFFF"/>
            <w:vAlign w:val="center"/>
            <w:hideMark/>
          </w:tcPr>
          <w:p w14:paraId="61269A35" w14:textId="77777777" w:rsidR="00817DB4" w:rsidRPr="009B4D5C" w:rsidRDefault="00817DB4" w:rsidP="00817DB4">
            <w:pPr>
              <w:jc w:val="center"/>
              <w:rPr>
                <w:i/>
                <w:iCs/>
                <w:sz w:val="22"/>
                <w:szCs w:val="22"/>
              </w:rPr>
            </w:pPr>
            <w:r w:rsidRPr="009B4D5C">
              <w:rPr>
                <w:i/>
                <w:iCs/>
                <w:sz w:val="22"/>
                <w:szCs w:val="22"/>
              </w:rPr>
              <w:t>Fondos de inversión  como inversionistas en reportos donde el emisor del subyacente es diferente a G y BCCR</w:t>
            </w:r>
          </w:p>
        </w:tc>
        <w:tc>
          <w:tcPr>
            <w:tcW w:w="1480" w:type="dxa"/>
            <w:shd w:val="clear" w:color="000000" w:fill="FFFFFF"/>
            <w:noWrap/>
            <w:vAlign w:val="center"/>
            <w:hideMark/>
          </w:tcPr>
          <w:p w14:paraId="20F6BAB3" w14:textId="77777777" w:rsidR="00817DB4" w:rsidRPr="009B4D5C" w:rsidRDefault="00817DB4" w:rsidP="00817DB4">
            <w:pPr>
              <w:jc w:val="center"/>
              <w:rPr>
                <w:i/>
                <w:iCs/>
                <w:sz w:val="22"/>
                <w:szCs w:val="22"/>
              </w:rPr>
            </w:pPr>
            <w:r w:rsidRPr="009B4D5C">
              <w:rPr>
                <w:i/>
                <w:iCs/>
                <w:sz w:val="22"/>
                <w:szCs w:val="22"/>
              </w:rPr>
              <w:t>15%</w:t>
            </w:r>
          </w:p>
        </w:tc>
        <w:tc>
          <w:tcPr>
            <w:tcW w:w="1425" w:type="dxa"/>
            <w:shd w:val="clear" w:color="000000" w:fill="FFFFFF"/>
            <w:noWrap/>
            <w:vAlign w:val="center"/>
            <w:hideMark/>
          </w:tcPr>
          <w:p w14:paraId="34651788" w14:textId="77777777" w:rsidR="00817DB4" w:rsidRPr="009B4D5C" w:rsidRDefault="00817DB4" w:rsidP="00817DB4">
            <w:pPr>
              <w:jc w:val="center"/>
              <w:rPr>
                <w:i/>
                <w:iCs/>
                <w:sz w:val="22"/>
                <w:szCs w:val="22"/>
              </w:rPr>
            </w:pPr>
            <w:r w:rsidRPr="009B4D5C">
              <w:rPr>
                <w:i/>
                <w:iCs/>
                <w:sz w:val="22"/>
                <w:szCs w:val="22"/>
              </w:rPr>
              <w:t>15%</w:t>
            </w:r>
          </w:p>
        </w:tc>
      </w:tr>
      <w:tr w:rsidR="00817DB4" w:rsidRPr="009B4D5C" w14:paraId="727F36FC" w14:textId="77777777" w:rsidTr="002F2BF6">
        <w:trPr>
          <w:trHeight w:val="20"/>
        </w:trPr>
        <w:tc>
          <w:tcPr>
            <w:tcW w:w="1980" w:type="dxa"/>
            <w:shd w:val="clear" w:color="000000" w:fill="FFFFFF"/>
            <w:vAlign w:val="center"/>
            <w:hideMark/>
          </w:tcPr>
          <w:p w14:paraId="4FF7A694" w14:textId="77777777" w:rsidR="00817DB4" w:rsidRPr="009B4D5C" w:rsidRDefault="00817DB4" w:rsidP="00817DB4">
            <w:pPr>
              <w:jc w:val="center"/>
              <w:rPr>
                <w:i/>
                <w:iCs/>
                <w:sz w:val="22"/>
                <w:szCs w:val="22"/>
              </w:rPr>
            </w:pPr>
            <w:r w:rsidRPr="009B4D5C">
              <w:rPr>
                <w:i/>
                <w:iCs/>
                <w:sz w:val="22"/>
                <w:szCs w:val="22"/>
              </w:rPr>
              <w:t>Fondos del Mercado de Dinero</w:t>
            </w:r>
          </w:p>
        </w:tc>
        <w:tc>
          <w:tcPr>
            <w:tcW w:w="1843" w:type="dxa"/>
            <w:shd w:val="clear" w:color="000000" w:fill="FFFFFF"/>
            <w:noWrap/>
            <w:vAlign w:val="center"/>
            <w:hideMark/>
          </w:tcPr>
          <w:p w14:paraId="6ABE6B7B" w14:textId="77777777" w:rsidR="00817DB4" w:rsidRPr="009B4D5C" w:rsidRDefault="00817DB4" w:rsidP="00817DB4">
            <w:pPr>
              <w:jc w:val="center"/>
              <w:rPr>
                <w:i/>
                <w:iCs/>
                <w:sz w:val="22"/>
                <w:szCs w:val="22"/>
              </w:rPr>
            </w:pPr>
            <w:r w:rsidRPr="009B4D5C">
              <w:rPr>
                <w:i/>
                <w:iCs/>
                <w:sz w:val="22"/>
                <w:szCs w:val="22"/>
              </w:rPr>
              <w:t>Concentración</w:t>
            </w:r>
          </w:p>
        </w:tc>
        <w:tc>
          <w:tcPr>
            <w:tcW w:w="2194" w:type="dxa"/>
            <w:shd w:val="clear" w:color="000000" w:fill="FFFFFF"/>
            <w:vAlign w:val="center"/>
            <w:hideMark/>
          </w:tcPr>
          <w:p w14:paraId="262E4738" w14:textId="77777777" w:rsidR="00817DB4" w:rsidRPr="009B4D5C" w:rsidRDefault="00817DB4" w:rsidP="00817DB4">
            <w:pPr>
              <w:jc w:val="center"/>
              <w:rPr>
                <w:i/>
                <w:iCs/>
                <w:sz w:val="22"/>
                <w:szCs w:val="22"/>
              </w:rPr>
            </w:pPr>
            <w:r w:rsidRPr="009B4D5C">
              <w:rPr>
                <w:i/>
                <w:iCs/>
                <w:sz w:val="22"/>
                <w:szCs w:val="22"/>
              </w:rPr>
              <w:t>Monto de pasivos de FI</w:t>
            </w:r>
          </w:p>
        </w:tc>
        <w:tc>
          <w:tcPr>
            <w:tcW w:w="1480" w:type="dxa"/>
            <w:shd w:val="clear" w:color="000000" w:fill="FFFFFF"/>
            <w:noWrap/>
            <w:vAlign w:val="center"/>
            <w:hideMark/>
          </w:tcPr>
          <w:p w14:paraId="586EFAA5" w14:textId="77777777" w:rsidR="00817DB4" w:rsidRPr="009B4D5C" w:rsidRDefault="00817DB4" w:rsidP="00817DB4">
            <w:pPr>
              <w:jc w:val="center"/>
              <w:rPr>
                <w:i/>
                <w:iCs/>
                <w:sz w:val="22"/>
                <w:szCs w:val="22"/>
              </w:rPr>
            </w:pPr>
            <w:r w:rsidRPr="009B4D5C">
              <w:rPr>
                <w:i/>
                <w:iCs/>
                <w:sz w:val="22"/>
                <w:szCs w:val="22"/>
              </w:rPr>
              <w:t>15%</w:t>
            </w:r>
          </w:p>
        </w:tc>
        <w:tc>
          <w:tcPr>
            <w:tcW w:w="1425" w:type="dxa"/>
            <w:shd w:val="clear" w:color="000000" w:fill="FFFFFF"/>
            <w:noWrap/>
            <w:vAlign w:val="center"/>
            <w:hideMark/>
          </w:tcPr>
          <w:p w14:paraId="34927AD6" w14:textId="77777777" w:rsidR="00817DB4" w:rsidRPr="009B4D5C" w:rsidRDefault="00817DB4" w:rsidP="00817DB4">
            <w:pPr>
              <w:jc w:val="center"/>
              <w:rPr>
                <w:i/>
                <w:iCs/>
                <w:sz w:val="22"/>
                <w:szCs w:val="22"/>
              </w:rPr>
            </w:pPr>
            <w:r w:rsidRPr="009B4D5C">
              <w:rPr>
                <w:i/>
                <w:iCs/>
                <w:sz w:val="22"/>
                <w:szCs w:val="22"/>
              </w:rPr>
              <w:t>15%</w:t>
            </w:r>
          </w:p>
        </w:tc>
      </w:tr>
    </w:tbl>
    <w:p w14:paraId="156D5A2F" w14:textId="77777777" w:rsidR="00817DB4" w:rsidRPr="009B4D5C" w:rsidRDefault="00817DB4" w:rsidP="00817DB4">
      <w:pPr>
        <w:jc w:val="both"/>
        <w:rPr>
          <w:sz w:val="22"/>
          <w:szCs w:val="22"/>
        </w:rPr>
      </w:pPr>
    </w:p>
    <w:p w14:paraId="1F2981A3" w14:textId="77777777" w:rsidR="00817DB4" w:rsidRPr="009B4D5C" w:rsidRDefault="00817DB4" w:rsidP="00817DB4">
      <w:pPr>
        <w:jc w:val="both"/>
        <w:rPr>
          <w:b/>
          <w:bCs/>
          <w:i/>
          <w:iCs/>
          <w:sz w:val="22"/>
          <w:szCs w:val="22"/>
        </w:rPr>
      </w:pPr>
      <w:r w:rsidRPr="009B4D5C">
        <w:rPr>
          <w:b/>
          <w:bCs/>
          <w:i/>
          <w:iCs/>
          <w:sz w:val="22"/>
          <w:szCs w:val="22"/>
        </w:rPr>
        <w:t>Artículo 10. Determinación de la condición de entidad de importancia sistémica.</w:t>
      </w:r>
    </w:p>
    <w:p w14:paraId="165F0569" w14:textId="77777777" w:rsidR="00817DB4" w:rsidRPr="009B4D5C" w:rsidRDefault="00817DB4" w:rsidP="00817DB4">
      <w:pPr>
        <w:jc w:val="both"/>
        <w:rPr>
          <w:sz w:val="22"/>
          <w:szCs w:val="22"/>
        </w:rPr>
      </w:pPr>
    </w:p>
    <w:p w14:paraId="565F53A7" w14:textId="77777777" w:rsidR="00817DB4" w:rsidRPr="009B4D5C" w:rsidRDefault="00817DB4" w:rsidP="00817DB4">
      <w:pPr>
        <w:jc w:val="both"/>
        <w:rPr>
          <w:i/>
          <w:iCs/>
          <w:sz w:val="22"/>
          <w:szCs w:val="22"/>
        </w:rPr>
      </w:pPr>
      <w:r w:rsidRPr="009B4D5C">
        <w:rPr>
          <w:i/>
          <w:iCs/>
          <w:sz w:val="22"/>
          <w:szCs w:val="22"/>
        </w:rPr>
        <w:t>La condición de importancia sistémica de puestos de bolsa y sociedades administradoras de fondos de inversión será determinada por la SUGEVAL mediante la aplicación de la metodología de puntaje dispuesta en este reglamento.</w:t>
      </w:r>
    </w:p>
    <w:p w14:paraId="22190496" w14:textId="77777777" w:rsidR="00817DB4" w:rsidRPr="009B4D5C" w:rsidRDefault="00817DB4" w:rsidP="00817DB4">
      <w:pPr>
        <w:jc w:val="both"/>
        <w:rPr>
          <w:i/>
          <w:iCs/>
          <w:sz w:val="22"/>
          <w:szCs w:val="22"/>
        </w:rPr>
      </w:pPr>
    </w:p>
    <w:p w14:paraId="34D1BCF1" w14:textId="77777777" w:rsidR="00817DB4" w:rsidRPr="009B4D5C" w:rsidRDefault="00817DB4" w:rsidP="00817DB4">
      <w:pPr>
        <w:jc w:val="both"/>
        <w:rPr>
          <w:i/>
          <w:iCs/>
          <w:sz w:val="22"/>
          <w:szCs w:val="22"/>
        </w:rPr>
      </w:pPr>
      <w:r w:rsidRPr="009B4D5C">
        <w:rPr>
          <w:i/>
          <w:iCs/>
          <w:sz w:val="22"/>
          <w:szCs w:val="22"/>
        </w:rPr>
        <w:lastRenderedPageBreak/>
        <w:t>La condición de importancia sistémica estará determinada por el puntaje obtenido por la entidad en el índice de importancia sistémica. La entidad catalogada de importancia sistémica es aquella cuyo puntaje sea mayor a 600 tratándose de puestos de bolsa y de 1000 para el caso de las sociedades administradoras de fondos de inversión, según se indica a continuación:</w:t>
      </w:r>
    </w:p>
    <w:p w14:paraId="6D4A4A35" w14:textId="77777777" w:rsidR="00817DB4" w:rsidRPr="009B4D5C" w:rsidRDefault="00817DB4" w:rsidP="00817DB4">
      <w:pPr>
        <w:jc w:val="both"/>
        <w:rPr>
          <w:sz w:val="22"/>
          <w:szCs w:val="22"/>
        </w:rPr>
      </w:pPr>
    </w:p>
    <w:tbl>
      <w:tblPr>
        <w:tblW w:w="7827" w:type="dxa"/>
        <w:tblInd w:w="562" w:type="dxa"/>
        <w:tblCellMar>
          <w:left w:w="70" w:type="dxa"/>
          <w:right w:w="70" w:type="dxa"/>
        </w:tblCellMar>
        <w:tblLook w:val="04A0" w:firstRow="1" w:lastRow="0" w:firstColumn="1" w:lastColumn="0" w:noHBand="0" w:noVBand="1"/>
      </w:tblPr>
      <w:tblGrid>
        <w:gridCol w:w="2467"/>
        <w:gridCol w:w="2880"/>
        <w:gridCol w:w="2480"/>
      </w:tblGrid>
      <w:tr w:rsidR="00817DB4" w:rsidRPr="009B4D5C" w14:paraId="030587D0" w14:textId="77777777" w:rsidTr="002F2BF6">
        <w:trPr>
          <w:trHeight w:val="20"/>
        </w:trPr>
        <w:tc>
          <w:tcPr>
            <w:tcW w:w="2467" w:type="dxa"/>
            <w:vMerge w:val="restart"/>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560DB93B" w14:textId="77777777" w:rsidR="00817DB4" w:rsidRPr="009B4D5C" w:rsidRDefault="00817DB4" w:rsidP="00817DB4">
            <w:pPr>
              <w:jc w:val="center"/>
              <w:rPr>
                <w:i/>
                <w:iCs/>
                <w:color w:val="FFFFFF" w:themeColor="background1"/>
                <w:sz w:val="22"/>
                <w:szCs w:val="22"/>
              </w:rPr>
            </w:pPr>
            <w:r w:rsidRPr="009B4D5C">
              <w:rPr>
                <w:i/>
                <w:iCs/>
                <w:color w:val="FFFFFF" w:themeColor="background1"/>
                <w:sz w:val="22"/>
                <w:szCs w:val="22"/>
              </w:rPr>
              <w:t>Categoría de</w:t>
            </w:r>
            <w:r w:rsidRPr="009B4D5C">
              <w:rPr>
                <w:i/>
                <w:iCs/>
                <w:color w:val="FFFFFF" w:themeColor="background1"/>
                <w:sz w:val="22"/>
                <w:szCs w:val="22"/>
              </w:rPr>
              <w:br/>
              <w:t xml:space="preserve"> Importancia Sistémica</w:t>
            </w:r>
          </w:p>
        </w:tc>
        <w:tc>
          <w:tcPr>
            <w:tcW w:w="2880" w:type="dxa"/>
            <w:tcBorders>
              <w:top w:val="single" w:sz="4" w:space="0" w:color="auto"/>
              <w:left w:val="nil"/>
              <w:bottom w:val="single" w:sz="4" w:space="0" w:color="auto"/>
              <w:right w:val="single" w:sz="4" w:space="0" w:color="auto"/>
            </w:tcBorders>
            <w:shd w:val="clear" w:color="auto" w:fill="1F3864" w:themeFill="accent1" w:themeFillShade="80"/>
            <w:noWrap/>
            <w:vAlign w:val="center"/>
            <w:hideMark/>
          </w:tcPr>
          <w:p w14:paraId="6787EE83" w14:textId="77777777" w:rsidR="00817DB4" w:rsidRPr="009B4D5C" w:rsidRDefault="00817DB4" w:rsidP="00817DB4">
            <w:pPr>
              <w:jc w:val="center"/>
              <w:rPr>
                <w:i/>
                <w:iCs/>
                <w:color w:val="FFFFFF" w:themeColor="background1"/>
                <w:sz w:val="22"/>
                <w:szCs w:val="22"/>
              </w:rPr>
            </w:pPr>
            <w:r w:rsidRPr="009B4D5C">
              <w:rPr>
                <w:i/>
                <w:iCs/>
                <w:color w:val="FFFFFF" w:themeColor="background1"/>
                <w:sz w:val="22"/>
                <w:szCs w:val="22"/>
              </w:rPr>
              <w:t>A. Puestos de bolsa</w:t>
            </w:r>
          </w:p>
        </w:tc>
        <w:tc>
          <w:tcPr>
            <w:tcW w:w="2480" w:type="dxa"/>
            <w:tcBorders>
              <w:top w:val="single" w:sz="4" w:space="0" w:color="auto"/>
              <w:left w:val="nil"/>
              <w:bottom w:val="single" w:sz="4" w:space="0" w:color="auto"/>
              <w:right w:val="single" w:sz="4" w:space="0" w:color="auto"/>
            </w:tcBorders>
            <w:shd w:val="clear" w:color="auto" w:fill="1F3864" w:themeFill="accent1" w:themeFillShade="80"/>
            <w:hideMark/>
          </w:tcPr>
          <w:p w14:paraId="64D60EE0" w14:textId="77777777" w:rsidR="00817DB4" w:rsidRPr="009B4D5C" w:rsidRDefault="00817DB4" w:rsidP="00817DB4">
            <w:pPr>
              <w:jc w:val="center"/>
              <w:rPr>
                <w:i/>
                <w:iCs/>
                <w:color w:val="FFFFFF" w:themeColor="background1"/>
                <w:sz w:val="22"/>
                <w:szCs w:val="22"/>
              </w:rPr>
            </w:pPr>
            <w:r w:rsidRPr="009B4D5C">
              <w:rPr>
                <w:i/>
                <w:iCs/>
                <w:color w:val="FFFFFF" w:themeColor="background1"/>
                <w:sz w:val="22"/>
                <w:szCs w:val="22"/>
              </w:rPr>
              <w:t xml:space="preserve">B. Sociedades Administradoras </w:t>
            </w:r>
            <w:r w:rsidRPr="009B4D5C">
              <w:rPr>
                <w:i/>
                <w:iCs/>
                <w:color w:val="FFFFFF" w:themeColor="background1"/>
                <w:sz w:val="22"/>
                <w:szCs w:val="22"/>
              </w:rPr>
              <w:br/>
              <w:t>de Fondos de Inversión</w:t>
            </w:r>
          </w:p>
        </w:tc>
      </w:tr>
      <w:tr w:rsidR="00817DB4" w:rsidRPr="009B4D5C" w14:paraId="03EC1266" w14:textId="77777777" w:rsidTr="002F2BF6">
        <w:trPr>
          <w:trHeight w:val="20"/>
        </w:trPr>
        <w:tc>
          <w:tcPr>
            <w:tcW w:w="2467" w:type="dxa"/>
            <w:vMerge/>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0637E147" w14:textId="77777777" w:rsidR="00817DB4" w:rsidRPr="009B4D5C" w:rsidRDefault="00817DB4" w:rsidP="00817DB4">
            <w:pPr>
              <w:jc w:val="both"/>
              <w:rPr>
                <w:i/>
                <w:iCs/>
                <w:color w:val="FFFFFF" w:themeColor="background1"/>
                <w:sz w:val="22"/>
                <w:szCs w:val="22"/>
              </w:rPr>
            </w:pPr>
          </w:p>
        </w:tc>
        <w:tc>
          <w:tcPr>
            <w:tcW w:w="2880" w:type="dxa"/>
            <w:tcBorders>
              <w:top w:val="nil"/>
              <w:left w:val="nil"/>
              <w:bottom w:val="single" w:sz="4" w:space="0" w:color="auto"/>
              <w:right w:val="single" w:sz="4" w:space="0" w:color="auto"/>
            </w:tcBorders>
            <w:shd w:val="clear" w:color="auto" w:fill="1F3864" w:themeFill="accent1" w:themeFillShade="80"/>
            <w:noWrap/>
            <w:hideMark/>
          </w:tcPr>
          <w:p w14:paraId="28CA0271" w14:textId="77777777" w:rsidR="00817DB4" w:rsidRPr="009B4D5C" w:rsidRDefault="00817DB4" w:rsidP="00817DB4">
            <w:pPr>
              <w:jc w:val="center"/>
              <w:rPr>
                <w:i/>
                <w:iCs/>
                <w:color w:val="FFFFFF" w:themeColor="background1"/>
                <w:sz w:val="22"/>
                <w:szCs w:val="22"/>
              </w:rPr>
            </w:pPr>
            <w:r w:rsidRPr="009B4D5C">
              <w:rPr>
                <w:i/>
                <w:iCs/>
                <w:color w:val="FFFFFF" w:themeColor="background1"/>
                <w:sz w:val="22"/>
                <w:szCs w:val="22"/>
              </w:rPr>
              <w:t>Rango</w:t>
            </w:r>
          </w:p>
        </w:tc>
        <w:tc>
          <w:tcPr>
            <w:tcW w:w="2480" w:type="dxa"/>
            <w:tcBorders>
              <w:top w:val="nil"/>
              <w:left w:val="nil"/>
              <w:bottom w:val="single" w:sz="4" w:space="0" w:color="auto"/>
              <w:right w:val="single" w:sz="4" w:space="0" w:color="auto"/>
            </w:tcBorders>
            <w:shd w:val="clear" w:color="auto" w:fill="1F3864" w:themeFill="accent1" w:themeFillShade="80"/>
            <w:noWrap/>
            <w:hideMark/>
          </w:tcPr>
          <w:p w14:paraId="68CC6282" w14:textId="77777777" w:rsidR="00817DB4" w:rsidRPr="009B4D5C" w:rsidRDefault="00817DB4" w:rsidP="00817DB4">
            <w:pPr>
              <w:jc w:val="center"/>
              <w:rPr>
                <w:i/>
                <w:iCs/>
                <w:color w:val="FFFFFF" w:themeColor="background1"/>
                <w:sz w:val="22"/>
                <w:szCs w:val="22"/>
              </w:rPr>
            </w:pPr>
            <w:r w:rsidRPr="009B4D5C">
              <w:rPr>
                <w:i/>
                <w:iCs/>
                <w:color w:val="FFFFFF" w:themeColor="background1"/>
                <w:sz w:val="22"/>
                <w:szCs w:val="22"/>
              </w:rPr>
              <w:t>Rango</w:t>
            </w:r>
          </w:p>
        </w:tc>
      </w:tr>
      <w:tr w:rsidR="00817DB4" w:rsidRPr="009B4D5C" w14:paraId="3AA52529" w14:textId="77777777" w:rsidTr="002F2BF6">
        <w:trPr>
          <w:trHeight w:val="20"/>
        </w:trPr>
        <w:tc>
          <w:tcPr>
            <w:tcW w:w="2467" w:type="dxa"/>
            <w:tcBorders>
              <w:top w:val="nil"/>
              <w:left w:val="single" w:sz="4" w:space="0" w:color="auto"/>
              <w:bottom w:val="single" w:sz="4" w:space="0" w:color="auto"/>
              <w:right w:val="single" w:sz="4" w:space="0" w:color="auto"/>
            </w:tcBorders>
            <w:shd w:val="clear" w:color="auto" w:fill="auto"/>
            <w:noWrap/>
            <w:vAlign w:val="center"/>
            <w:hideMark/>
          </w:tcPr>
          <w:p w14:paraId="128A83E9" w14:textId="77777777" w:rsidR="00817DB4" w:rsidRPr="009B4D5C" w:rsidRDefault="00817DB4" w:rsidP="00817DB4">
            <w:pPr>
              <w:jc w:val="both"/>
              <w:rPr>
                <w:sz w:val="22"/>
                <w:szCs w:val="22"/>
              </w:rPr>
            </w:pPr>
            <w:r w:rsidRPr="009B4D5C">
              <w:rPr>
                <w:sz w:val="22"/>
                <w:szCs w:val="22"/>
              </w:rPr>
              <w:t>1</w:t>
            </w:r>
          </w:p>
        </w:tc>
        <w:tc>
          <w:tcPr>
            <w:tcW w:w="2880" w:type="dxa"/>
            <w:tcBorders>
              <w:top w:val="nil"/>
              <w:left w:val="nil"/>
              <w:bottom w:val="single" w:sz="4" w:space="0" w:color="auto"/>
              <w:right w:val="single" w:sz="4" w:space="0" w:color="auto"/>
            </w:tcBorders>
            <w:shd w:val="clear" w:color="auto" w:fill="auto"/>
            <w:noWrap/>
            <w:vAlign w:val="bottom"/>
            <w:hideMark/>
          </w:tcPr>
          <w:p w14:paraId="66F3459A" w14:textId="77777777" w:rsidR="00817DB4" w:rsidRPr="009B4D5C" w:rsidRDefault="00817DB4" w:rsidP="00817DB4">
            <w:pPr>
              <w:jc w:val="both"/>
              <w:rPr>
                <w:sz w:val="22"/>
                <w:szCs w:val="22"/>
              </w:rPr>
            </w:pPr>
            <w:r w:rsidRPr="009B4D5C">
              <w:rPr>
                <w:sz w:val="22"/>
                <w:szCs w:val="22"/>
              </w:rPr>
              <w:t xml:space="preserve">mayor de 600 </w:t>
            </w:r>
          </w:p>
        </w:tc>
        <w:tc>
          <w:tcPr>
            <w:tcW w:w="2480" w:type="dxa"/>
            <w:tcBorders>
              <w:top w:val="nil"/>
              <w:left w:val="nil"/>
              <w:bottom w:val="single" w:sz="4" w:space="0" w:color="auto"/>
              <w:right w:val="single" w:sz="4" w:space="0" w:color="auto"/>
            </w:tcBorders>
            <w:shd w:val="clear" w:color="auto" w:fill="auto"/>
            <w:noWrap/>
            <w:vAlign w:val="bottom"/>
            <w:hideMark/>
          </w:tcPr>
          <w:p w14:paraId="1DC21B7C" w14:textId="77777777" w:rsidR="00817DB4" w:rsidRPr="009B4D5C" w:rsidRDefault="00817DB4" w:rsidP="00817DB4">
            <w:pPr>
              <w:jc w:val="both"/>
              <w:rPr>
                <w:sz w:val="22"/>
                <w:szCs w:val="22"/>
              </w:rPr>
            </w:pPr>
            <w:r w:rsidRPr="009B4D5C">
              <w:rPr>
                <w:sz w:val="22"/>
                <w:szCs w:val="22"/>
              </w:rPr>
              <w:t>mayor de 1000</w:t>
            </w:r>
          </w:p>
        </w:tc>
      </w:tr>
    </w:tbl>
    <w:p w14:paraId="6C8F69D0" w14:textId="77777777" w:rsidR="00817DB4" w:rsidRPr="009B4D5C" w:rsidRDefault="00817DB4" w:rsidP="00817DB4">
      <w:pPr>
        <w:jc w:val="both"/>
        <w:rPr>
          <w:sz w:val="22"/>
          <w:szCs w:val="22"/>
        </w:rPr>
      </w:pPr>
    </w:p>
    <w:p w14:paraId="54DB3B2F" w14:textId="77777777" w:rsidR="00817DB4" w:rsidRPr="009B4D5C" w:rsidRDefault="00817DB4" w:rsidP="00817DB4">
      <w:pPr>
        <w:jc w:val="both"/>
        <w:rPr>
          <w:i/>
          <w:iCs/>
          <w:sz w:val="22"/>
          <w:szCs w:val="22"/>
        </w:rPr>
      </w:pPr>
      <w:r w:rsidRPr="009B4D5C">
        <w:rPr>
          <w:i/>
          <w:iCs/>
          <w:sz w:val="22"/>
          <w:szCs w:val="22"/>
        </w:rPr>
        <w:t>Adicionalmente, para efectos prudenciales y regulatorios, las Bolsas de Valores, las Sociedades de Compensación y Liquidación y las Centrales de Valores autorizadas por la SUGEVAL y que operen en Costa Rica, como infraestructuras del mercado financiero, serán consideradas entidades de importancia sistémica.”</w:t>
      </w:r>
    </w:p>
    <w:p w14:paraId="797A6631" w14:textId="77777777" w:rsidR="00817DB4" w:rsidRPr="009B4D5C" w:rsidRDefault="00817DB4" w:rsidP="00817DB4">
      <w:pPr>
        <w:jc w:val="both"/>
        <w:rPr>
          <w:sz w:val="22"/>
          <w:szCs w:val="22"/>
        </w:rPr>
      </w:pPr>
    </w:p>
    <w:p w14:paraId="67AF6A1F" w14:textId="77777777" w:rsidR="00817DB4" w:rsidRPr="009B4D5C" w:rsidRDefault="00817DB4" w:rsidP="00817DB4">
      <w:pPr>
        <w:jc w:val="both"/>
        <w:rPr>
          <w:b/>
          <w:bCs/>
          <w:sz w:val="22"/>
          <w:szCs w:val="22"/>
        </w:rPr>
      </w:pPr>
      <w:r w:rsidRPr="009B4D5C">
        <w:rPr>
          <w:b/>
          <w:bCs/>
          <w:sz w:val="22"/>
          <w:szCs w:val="22"/>
        </w:rPr>
        <w:t>III.</w:t>
      </w:r>
      <w:r w:rsidRPr="009B4D5C">
        <w:rPr>
          <w:b/>
          <w:bCs/>
          <w:sz w:val="22"/>
          <w:szCs w:val="22"/>
        </w:rPr>
        <w:tab/>
        <w:t>Adicionar un capítulo cuarto con el siguiente contenido:</w:t>
      </w:r>
    </w:p>
    <w:p w14:paraId="4F871F12" w14:textId="77777777" w:rsidR="00817DB4" w:rsidRPr="009B4D5C" w:rsidRDefault="00817DB4" w:rsidP="00817DB4">
      <w:pPr>
        <w:jc w:val="both"/>
        <w:rPr>
          <w:sz w:val="22"/>
          <w:szCs w:val="22"/>
        </w:rPr>
      </w:pPr>
    </w:p>
    <w:p w14:paraId="0DBFE064" w14:textId="77777777" w:rsidR="00817DB4" w:rsidRPr="009B4D5C" w:rsidRDefault="00817DB4" w:rsidP="00817DB4">
      <w:pPr>
        <w:jc w:val="center"/>
        <w:rPr>
          <w:b/>
          <w:bCs/>
          <w:i/>
          <w:iCs/>
          <w:sz w:val="22"/>
          <w:szCs w:val="22"/>
        </w:rPr>
      </w:pPr>
      <w:r w:rsidRPr="009B4D5C">
        <w:rPr>
          <w:b/>
          <w:bCs/>
          <w:i/>
          <w:iCs/>
          <w:sz w:val="22"/>
          <w:szCs w:val="22"/>
        </w:rPr>
        <w:t>“CAPÍTULO IV</w:t>
      </w:r>
    </w:p>
    <w:p w14:paraId="1510108E" w14:textId="77777777" w:rsidR="00817DB4" w:rsidRPr="009B4D5C" w:rsidRDefault="00817DB4" w:rsidP="00817DB4">
      <w:pPr>
        <w:jc w:val="center"/>
        <w:rPr>
          <w:b/>
          <w:bCs/>
          <w:i/>
          <w:iCs/>
          <w:sz w:val="22"/>
          <w:szCs w:val="22"/>
        </w:rPr>
      </w:pPr>
      <w:r w:rsidRPr="009B4D5C">
        <w:rPr>
          <w:b/>
          <w:bCs/>
          <w:i/>
          <w:iCs/>
          <w:sz w:val="22"/>
          <w:szCs w:val="22"/>
        </w:rPr>
        <w:t>DISPOSICIONES SOBRE LA METODOLOGÍA DE IDENTIFICACIÓN DE ENTIDADES DE IMPORTANCIA SISTÉMICA SUPERVISADAS POR LA SUGESE</w:t>
      </w:r>
    </w:p>
    <w:p w14:paraId="2457E237" w14:textId="77777777" w:rsidR="00817DB4" w:rsidRPr="009B4D5C" w:rsidRDefault="00817DB4" w:rsidP="00817DB4">
      <w:pPr>
        <w:jc w:val="both"/>
        <w:rPr>
          <w:sz w:val="22"/>
          <w:szCs w:val="22"/>
        </w:rPr>
      </w:pPr>
    </w:p>
    <w:p w14:paraId="5A8E2E85" w14:textId="77777777" w:rsidR="00817DB4" w:rsidRPr="009B4D5C" w:rsidRDefault="00817DB4" w:rsidP="00817DB4">
      <w:pPr>
        <w:jc w:val="both"/>
        <w:rPr>
          <w:b/>
          <w:bCs/>
          <w:i/>
          <w:iCs/>
          <w:sz w:val="22"/>
          <w:szCs w:val="22"/>
        </w:rPr>
      </w:pPr>
      <w:r w:rsidRPr="009B4D5C">
        <w:rPr>
          <w:b/>
          <w:bCs/>
          <w:i/>
          <w:iCs/>
          <w:sz w:val="22"/>
          <w:szCs w:val="22"/>
        </w:rPr>
        <w:t>Artículo 11. Dimensiones.</w:t>
      </w:r>
    </w:p>
    <w:p w14:paraId="1B9B9CA7" w14:textId="77777777" w:rsidR="00817DB4" w:rsidRPr="009B4D5C" w:rsidRDefault="00817DB4" w:rsidP="00817DB4">
      <w:pPr>
        <w:jc w:val="both"/>
        <w:rPr>
          <w:sz w:val="22"/>
          <w:szCs w:val="22"/>
        </w:rPr>
      </w:pPr>
    </w:p>
    <w:p w14:paraId="3BD58191" w14:textId="77777777" w:rsidR="00817DB4" w:rsidRPr="009B4D5C" w:rsidRDefault="00817DB4" w:rsidP="00817DB4">
      <w:pPr>
        <w:jc w:val="both"/>
        <w:rPr>
          <w:i/>
          <w:iCs/>
          <w:sz w:val="22"/>
          <w:szCs w:val="22"/>
        </w:rPr>
      </w:pPr>
      <w:r w:rsidRPr="009B4D5C">
        <w:rPr>
          <w:i/>
          <w:iCs/>
          <w:sz w:val="22"/>
          <w:szCs w:val="22"/>
        </w:rPr>
        <w:t>Para la identificación de entidades de importancia sistémica se consideran las siguientes dimensiones:</w:t>
      </w:r>
    </w:p>
    <w:p w14:paraId="08D87BC9" w14:textId="77777777" w:rsidR="00817DB4" w:rsidRPr="009B4D5C" w:rsidRDefault="00817DB4" w:rsidP="00817DB4">
      <w:pPr>
        <w:tabs>
          <w:tab w:val="left" w:pos="426"/>
        </w:tabs>
        <w:ind w:left="425"/>
        <w:jc w:val="both"/>
        <w:rPr>
          <w:i/>
          <w:iCs/>
          <w:sz w:val="22"/>
          <w:szCs w:val="22"/>
        </w:rPr>
      </w:pPr>
    </w:p>
    <w:p w14:paraId="741174E8" w14:textId="77777777" w:rsidR="00817DB4" w:rsidRPr="009B4D5C" w:rsidRDefault="00817DB4" w:rsidP="00817DB4">
      <w:pPr>
        <w:tabs>
          <w:tab w:val="left" w:pos="426"/>
        </w:tabs>
        <w:ind w:left="425"/>
        <w:jc w:val="both"/>
        <w:rPr>
          <w:i/>
          <w:iCs/>
          <w:sz w:val="22"/>
          <w:szCs w:val="22"/>
        </w:rPr>
      </w:pPr>
      <w:r w:rsidRPr="009B4D5C">
        <w:rPr>
          <w:i/>
          <w:iCs/>
          <w:sz w:val="22"/>
          <w:szCs w:val="22"/>
        </w:rPr>
        <w:t>1.</w:t>
      </w:r>
      <w:r w:rsidRPr="009B4D5C">
        <w:rPr>
          <w:i/>
          <w:iCs/>
          <w:sz w:val="22"/>
          <w:szCs w:val="22"/>
        </w:rPr>
        <w:tab/>
        <w:t>Tamaño.</w:t>
      </w:r>
    </w:p>
    <w:p w14:paraId="5CBECC89" w14:textId="77777777" w:rsidR="00817DB4" w:rsidRPr="009B4D5C" w:rsidRDefault="00817DB4" w:rsidP="00817DB4">
      <w:pPr>
        <w:tabs>
          <w:tab w:val="left" w:pos="426"/>
        </w:tabs>
        <w:ind w:left="425"/>
        <w:jc w:val="both"/>
        <w:rPr>
          <w:i/>
          <w:iCs/>
          <w:sz w:val="22"/>
          <w:szCs w:val="22"/>
        </w:rPr>
      </w:pPr>
      <w:r w:rsidRPr="009B4D5C">
        <w:rPr>
          <w:i/>
          <w:iCs/>
          <w:sz w:val="22"/>
          <w:szCs w:val="22"/>
        </w:rPr>
        <w:t>2.</w:t>
      </w:r>
      <w:r w:rsidRPr="009B4D5C">
        <w:rPr>
          <w:i/>
          <w:iCs/>
          <w:sz w:val="22"/>
          <w:szCs w:val="22"/>
        </w:rPr>
        <w:tab/>
        <w:t>Interconexión.</w:t>
      </w:r>
    </w:p>
    <w:p w14:paraId="1EB97F1C" w14:textId="77777777" w:rsidR="00817DB4" w:rsidRPr="009B4D5C" w:rsidRDefault="00817DB4" w:rsidP="00817DB4">
      <w:pPr>
        <w:tabs>
          <w:tab w:val="left" w:pos="426"/>
        </w:tabs>
        <w:ind w:left="425"/>
        <w:jc w:val="both"/>
        <w:rPr>
          <w:i/>
          <w:iCs/>
          <w:sz w:val="22"/>
          <w:szCs w:val="22"/>
        </w:rPr>
      </w:pPr>
      <w:r w:rsidRPr="009B4D5C">
        <w:rPr>
          <w:i/>
          <w:iCs/>
          <w:sz w:val="22"/>
          <w:szCs w:val="22"/>
        </w:rPr>
        <w:t>3.</w:t>
      </w:r>
      <w:r w:rsidRPr="009B4D5C">
        <w:rPr>
          <w:i/>
          <w:iCs/>
          <w:sz w:val="22"/>
          <w:szCs w:val="22"/>
        </w:rPr>
        <w:tab/>
        <w:t>Complejidad.</w:t>
      </w:r>
    </w:p>
    <w:p w14:paraId="4D4E18C2" w14:textId="77777777" w:rsidR="00817DB4" w:rsidRPr="009B4D5C" w:rsidRDefault="00817DB4" w:rsidP="00817DB4">
      <w:pPr>
        <w:tabs>
          <w:tab w:val="left" w:pos="426"/>
        </w:tabs>
        <w:ind w:left="425"/>
        <w:jc w:val="both"/>
        <w:rPr>
          <w:i/>
          <w:iCs/>
          <w:sz w:val="22"/>
          <w:szCs w:val="22"/>
        </w:rPr>
      </w:pPr>
      <w:r w:rsidRPr="009B4D5C">
        <w:rPr>
          <w:i/>
          <w:iCs/>
          <w:sz w:val="22"/>
          <w:szCs w:val="22"/>
        </w:rPr>
        <w:t>4.</w:t>
      </w:r>
      <w:r w:rsidRPr="009B4D5C">
        <w:rPr>
          <w:i/>
          <w:iCs/>
          <w:sz w:val="22"/>
          <w:szCs w:val="22"/>
        </w:rPr>
        <w:tab/>
        <w:t>Grado de sustitución.</w:t>
      </w:r>
    </w:p>
    <w:p w14:paraId="48189E2C" w14:textId="77777777" w:rsidR="00817DB4" w:rsidRPr="009B4D5C" w:rsidRDefault="00817DB4" w:rsidP="00817DB4">
      <w:pPr>
        <w:jc w:val="both"/>
        <w:rPr>
          <w:sz w:val="22"/>
          <w:szCs w:val="22"/>
        </w:rPr>
      </w:pPr>
    </w:p>
    <w:p w14:paraId="7378D3B3" w14:textId="77777777" w:rsidR="00817DB4" w:rsidRPr="009B4D5C" w:rsidRDefault="00817DB4" w:rsidP="00817DB4">
      <w:pPr>
        <w:jc w:val="both"/>
        <w:rPr>
          <w:i/>
          <w:iCs/>
          <w:sz w:val="22"/>
          <w:szCs w:val="22"/>
        </w:rPr>
      </w:pPr>
      <w:r w:rsidRPr="009B4D5C">
        <w:rPr>
          <w:i/>
          <w:iCs/>
          <w:sz w:val="22"/>
          <w:szCs w:val="22"/>
        </w:rPr>
        <w:t>Cada dimensión incluye una serie de indicadores definidos en el siguiente articulo los que se expresan utilizando una base de 10,000. La metodología</w:t>
      </w:r>
      <w:r w:rsidRPr="009B4D5C" w:rsidDel="004B43CB">
        <w:rPr>
          <w:i/>
          <w:iCs/>
          <w:sz w:val="22"/>
          <w:szCs w:val="22"/>
        </w:rPr>
        <w:t xml:space="preserve"> </w:t>
      </w:r>
      <w:r w:rsidRPr="009B4D5C">
        <w:rPr>
          <w:i/>
          <w:iCs/>
          <w:sz w:val="22"/>
          <w:szCs w:val="22"/>
        </w:rPr>
        <w:t>aplica a cada una de las entidades aseguradoras y reaseguradoras, sin agrupaciones de ningún tipo.</w:t>
      </w:r>
    </w:p>
    <w:p w14:paraId="7D5E726F" w14:textId="77777777" w:rsidR="00817DB4" w:rsidRPr="009B4D5C" w:rsidRDefault="00817DB4" w:rsidP="00817DB4">
      <w:pPr>
        <w:jc w:val="both"/>
        <w:rPr>
          <w:sz w:val="22"/>
          <w:szCs w:val="22"/>
        </w:rPr>
      </w:pPr>
    </w:p>
    <w:p w14:paraId="2B5908A2" w14:textId="77777777" w:rsidR="00817DB4" w:rsidRPr="009B4D5C" w:rsidRDefault="00817DB4" w:rsidP="00817DB4">
      <w:pPr>
        <w:jc w:val="both"/>
        <w:rPr>
          <w:b/>
          <w:bCs/>
          <w:i/>
          <w:iCs/>
          <w:sz w:val="22"/>
          <w:szCs w:val="22"/>
        </w:rPr>
      </w:pPr>
      <w:r w:rsidRPr="009B4D5C">
        <w:rPr>
          <w:b/>
          <w:bCs/>
          <w:i/>
          <w:iCs/>
          <w:sz w:val="22"/>
          <w:szCs w:val="22"/>
        </w:rPr>
        <w:t>Artículo 12. Indicadores.</w:t>
      </w:r>
    </w:p>
    <w:p w14:paraId="11ACEF85" w14:textId="77777777" w:rsidR="00817DB4" w:rsidRPr="009B4D5C" w:rsidRDefault="00817DB4" w:rsidP="00817DB4">
      <w:pPr>
        <w:jc w:val="both"/>
        <w:rPr>
          <w:sz w:val="22"/>
          <w:szCs w:val="22"/>
        </w:rPr>
      </w:pPr>
    </w:p>
    <w:p w14:paraId="326D6B6D" w14:textId="77777777" w:rsidR="00817DB4" w:rsidRPr="009B4D5C" w:rsidRDefault="00817DB4" w:rsidP="00817DB4">
      <w:pPr>
        <w:jc w:val="both"/>
        <w:rPr>
          <w:i/>
          <w:iCs/>
          <w:sz w:val="22"/>
          <w:szCs w:val="22"/>
        </w:rPr>
      </w:pPr>
      <w:r w:rsidRPr="009B4D5C">
        <w:rPr>
          <w:i/>
          <w:iCs/>
          <w:sz w:val="22"/>
          <w:szCs w:val="22"/>
        </w:rPr>
        <w:t>Para cada dimensión se definen indicadores que miden la participación relativa de cada entidad en el tema respectivo y las ordenan de mayor a menor. Para su cálculo se utiliza la información de los últimos 12 meses. Estos indicadores a su vez se agregan en un índice general de importancia sistémica.</w:t>
      </w:r>
    </w:p>
    <w:p w14:paraId="2ABF1196" w14:textId="77777777" w:rsidR="00817DB4" w:rsidRPr="009B4D5C" w:rsidRDefault="00817DB4" w:rsidP="00817DB4">
      <w:pPr>
        <w:jc w:val="both"/>
        <w:rPr>
          <w:i/>
          <w:iCs/>
          <w:sz w:val="22"/>
          <w:szCs w:val="22"/>
        </w:rPr>
      </w:pPr>
    </w:p>
    <w:p w14:paraId="7F126AED" w14:textId="77777777" w:rsidR="00817DB4" w:rsidRPr="009B4D5C" w:rsidRDefault="00817DB4" w:rsidP="00817DB4">
      <w:pPr>
        <w:jc w:val="both"/>
        <w:rPr>
          <w:i/>
          <w:iCs/>
          <w:sz w:val="22"/>
          <w:szCs w:val="22"/>
        </w:rPr>
      </w:pPr>
      <w:r w:rsidRPr="009B4D5C">
        <w:rPr>
          <w:i/>
          <w:iCs/>
          <w:sz w:val="22"/>
          <w:szCs w:val="22"/>
        </w:rPr>
        <w:t>Para realizar la agregación de los indicadores por dimensión y del indicador total, se establece el mismo peso relativo.</w:t>
      </w:r>
    </w:p>
    <w:p w14:paraId="009CF239" w14:textId="77777777" w:rsidR="00817DB4" w:rsidRPr="009B4D5C" w:rsidRDefault="00817DB4" w:rsidP="00817DB4">
      <w:pPr>
        <w:jc w:val="both"/>
        <w:rPr>
          <w:i/>
          <w:iCs/>
          <w:sz w:val="22"/>
          <w:szCs w:val="22"/>
        </w:rPr>
      </w:pPr>
    </w:p>
    <w:p w14:paraId="20052C62" w14:textId="77777777" w:rsidR="00817DB4" w:rsidRPr="009B4D5C" w:rsidRDefault="00817DB4" w:rsidP="00817DB4">
      <w:pPr>
        <w:jc w:val="both"/>
        <w:rPr>
          <w:i/>
          <w:iCs/>
          <w:sz w:val="22"/>
          <w:szCs w:val="22"/>
        </w:rPr>
      </w:pPr>
      <w:r w:rsidRPr="009B4D5C">
        <w:rPr>
          <w:i/>
          <w:iCs/>
          <w:sz w:val="22"/>
          <w:szCs w:val="22"/>
        </w:rPr>
        <w:t>Los indicadores dentro de cada dimensión son los siguientes:</w:t>
      </w:r>
    </w:p>
    <w:p w14:paraId="01845D82" w14:textId="77777777" w:rsidR="00817DB4" w:rsidRPr="009B4D5C" w:rsidRDefault="00817DB4" w:rsidP="00817DB4">
      <w:pPr>
        <w:jc w:val="both"/>
        <w:rPr>
          <w:sz w:val="22"/>
          <w:szCs w:val="22"/>
        </w:rPr>
      </w:pPr>
    </w:p>
    <w:p w14:paraId="4E040227" w14:textId="77777777" w:rsidR="00817DB4" w:rsidRPr="009B4D5C" w:rsidRDefault="00817DB4" w:rsidP="00817DB4">
      <w:pPr>
        <w:tabs>
          <w:tab w:val="left" w:pos="426"/>
        </w:tabs>
        <w:jc w:val="both"/>
        <w:rPr>
          <w:b/>
          <w:bCs/>
          <w:i/>
          <w:iCs/>
          <w:sz w:val="22"/>
          <w:szCs w:val="22"/>
        </w:rPr>
      </w:pPr>
      <w:r w:rsidRPr="009B4D5C">
        <w:rPr>
          <w:b/>
          <w:bCs/>
          <w:i/>
          <w:iCs/>
          <w:sz w:val="22"/>
          <w:szCs w:val="22"/>
        </w:rPr>
        <w:t>1.</w:t>
      </w:r>
      <w:r w:rsidRPr="009B4D5C">
        <w:rPr>
          <w:b/>
          <w:bCs/>
          <w:i/>
          <w:iCs/>
          <w:sz w:val="22"/>
          <w:szCs w:val="22"/>
        </w:rPr>
        <w:tab/>
        <w:t>Tamaño.</w:t>
      </w:r>
    </w:p>
    <w:p w14:paraId="0AD38407" w14:textId="77777777" w:rsidR="00817DB4" w:rsidRPr="009B4D5C" w:rsidRDefault="00817DB4" w:rsidP="00817DB4">
      <w:pPr>
        <w:jc w:val="both"/>
        <w:rPr>
          <w:sz w:val="22"/>
          <w:szCs w:val="22"/>
        </w:rPr>
      </w:pPr>
    </w:p>
    <w:p w14:paraId="6F7CAC73" w14:textId="77777777" w:rsidR="00817DB4" w:rsidRPr="009B4D5C" w:rsidRDefault="00817DB4" w:rsidP="00817DB4">
      <w:pPr>
        <w:ind w:left="851" w:hanging="425"/>
        <w:jc w:val="both"/>
        <w:rPr>
          <w:i/>
          <w:iCs/>
          <w:sz w:val="22"/>
          <w:szCs w:val="22"/>
        </w:rPr>
      </w:pPr>
      <w:r w:rsidRPr="009B4D5C">
        <w:rPr>
          <w:i/>
          <w:iCs/>
          <w:sz w:val="22"/>
          <w:szCs w:val="22"/>
        </w:rPr>
        <w:t>a.</w:t>
      </w:r>
      <w:r w:rsidRPr="009B4D5C">
        <w:rPr>
          <w:i/>
          <w:iCs/>
          <w:sz w:val="22"/>
          <w:szCs w:val="22"/>
        </w:rPr>
        <w:tab/>
        <w:t>Activos totales.</w:t>
      </w:r>
    </w:p>
    <w:p w14:paraId="1CF0A28D" w14:textId="77777777" w:rsidR="00817DB4" w:rsidRPr="009B4D5C" w:rsidRDefault="00817DB4" w:rsidP="00817DB4">
      <w:pPr>
        <w:ind w:left="851" w:hanging="425"/>
        <w:jc w:val="both"/>
        <w:rPr>
          <w:i/>
          <w:iCs/>
          <w:sz w:val="22"/>
          <w:szCs w:val="22"/>
        </w:rPr>
      </w:pPr>
      <w:r w:rsidRPr="009B4D5C">
        <w:rPr>
          <w:i/>
          <w:iCs/>
          <w:sz w:val="22"/>
          <w:szCs w:val="22"/>
        </w:rPr>
        <w:lastRenderedPageBreak/>
        <w:t>b.</w:t>
      </w:r>
      <w:r w:rsidRPr="009B4D5C">
        <w:rPr>
          <w:i/>
          <w:iCs/>
          <w:sz w:val="22"/>
          <w:szCs w:val="22"/>
        </w:rPr>
        <w:tab/>
        <w:t>Ingresos por primas.</w:t>
      </w:r>
    </w:p>
    <w:p w14:paraId="5698CEEB" w14:textId="77777777" w:rsidR="00817DB4" w:rsidRPr="009B4D5C" w:rsidRDefault="00817DB4" w:rsidP="00817DB4">
      <w:pPr>
        <w:jc w:val="both"/>
        <w:rPr>
          <w:sz w:val="22"/>
          <w:szCs w:val="22"/>
        </w:rPr>
      </w:pPr>
    </w:p>
    <w:p w14:paraId="3F46E317" w14:textId="77777777" w:rsidR="00817DB4" w:rsidRPr="009B4D5C" w:rsidRDefault="00817DB4" w:rsidP="00817DB4">
      <w:pPr>
        <w:jc w:val="both"/>
        <w:rPr>
          <w:i/>
          <w:iCs/>
          <w:sz w:val="22"/>
          <w:szCs w:val="22"/>
        </w:rPr>
      </w:pPr>
      <w:r w:rsidRPr="009B4D5C">
        <w:rPr>
          <w:i/>
          <w:iCs/>
          <w:sz w:val="22"/>
          <w:szCs w:val="22"/>
        </w:rPr>
        <w:t>El tamaño de una entidad no es una fuente de riesgo sistémico por sí mismo, sin embargo, puede actuar como un amplificador de dicho riesgo. La inestabilidad o salida del mercado de una entidad de gran tamaño puede tener efectos negativos más significativos sobre el resto del mercado, el sistema financiero o la economía real, que los correspondientes a entidades más pequeñas.</w:t>
      </w:r>
    </w:p>
    <w:p w14:paraId="1D82BB68" w14:textId="77777777" w:rsidR="00817DB4" w:rsidRPr="009B4D5C" w:rsidRDefault="00817DB4" w:rsidP="00817DB4">
      <w:pPr>
        <w:jc w:val="both"/>
        <w:rPr>
          <w:sz w:val="22"/>
          <w:szCs w:val="22"/>
        </w:rPr>
      </w:pPr>
    </w:p>
    <w:p w14:paraId="3B5C3449" w14:textId="77777777" w:rsidR="00817DB4" w:rsidRPr="009B4D5C" w:rsidRDefault="00817DB4" w:rsidP="00817DB4">
      <w:pPr>
        <w:tabs>
          <w:tab w:val="left" w:pos="426"/>
        </w:tabs>
        <w:jc w:val="both"/>
        <w:rPr>
          <w:sz w:val="22"/>
          <w:szCs w:val="22"/>
        </w:rPr>
      </w:pPr>
      <w:r w:rsidRPr="009B4D5C">
        <w:rPr>
          <w:b/>
          <w:bCs/>
          <w:i/>
          <w:iCs/>
          <w:sz w:val="22"/>
          <w:szCs w:val="22"/>
        </w:rPr>
        <w:t>2.</w:t>
      </w:r>
      <w:r w:rsidRPr="009B4D5C">
        <w:rPr>
          <w:b/>
          <w:bCs/>
          <w:i/>
          <w:iCs/>
          <w:sz w:val="22"/>
          <w:szCs w:val="22"/>
        </w:rPr>
        <w:tab/>
        <w:t>Interconexión</w:t>
      </w:r>
      <w:r w:rsidRPr="009B4D5C">
        <w:rPr>
          <w:sz w:val="22"/>
          <w:szCs w:val="22"/>
        </w:rPr>
        <w:t>.</w:t>
      </w:r>
    </w:p>
    <w:p w14:paraId="5B4EB480" w14:textId="77777777" w:rsidR="00817DB4" w:rsidRPr="009B4D5C" w:rsidRDefault="00817DB4" w:rsidP="00817DB4">
      <w:pPr>
        <w:jc w:val="both"/>
        <w:rPr>
          <w:sz w:val="22"/>
          <w:szCs w:val="22"/>
        </w:rPr>
      </w:pPr>
    </w:p>
    <w:p w14:paraId="756F867C" w14:textId="77777777" w:rsidR="00817DB4" w:rsidRPr="009B4D5C" w:rsidRDefault="00817DB4" w:rsidP="00817DB4">
      <w:pPr>
        <w:ind w:left="851" w:hanging="425"/>
        <w:jc w:val="both"/>
        <w:rPr>
          <w:i/>
          <w:iCs/>
          <w:sz w:val="22"/>
          <w:szCs w:val="22"/>
        </w:rPr>
      </w:pPr>
      <w:r w:rsidRPr="009B4D5C">
        <w:rPr>
          <w:i/>
          <w:iCs/>
          <w:sz w:val="22"/>
          <w:szCs w:val="22"/>
        </w:rPr>
        <w:t>a.</w:t>
      </w:r>
      <w:r w:rsidRPr="009B4D5C">
        <w:rPr>
          <w:i/>
          <w:iCs/>
          <w:sz w:val="22"/>
          <w:szCs w:val="22"/>
        </w:rPr>
        <w:tab/>
        <w:t>Saldo de inversiones en valores emitidos por el gobierno.</w:t>
      </w:r>
    </w:p>
    <w:p w14:paraId="52874A24" w14:textId="77777777" w:rsidR="00817DB4" w:rsidRPr="009B4D5C" w:rsidRDefault="00817DB4" w:rsidP="00817DB4">
      <w:pPr>
        <w:ind w:left="851" w:hanging="425"/>
        <w:jc w:val="both"/>
        <w:rPr>
          <w:i/>
          <w:iCs/>
          <w:sz w:val="22"/>
          <w:szCs w:val="22"/>
        </w:rPr>
      </w:pPr>
      <w:r w:rsidRPr="009B4D5C">
        <w:rPr>
          <w:i/>
          <w:iCs/>
          <w:sz w:val="22"/>
          <w:szCs w:val="22"/>
        </w:rPr>
        <w:t>b.</w:t>
      </w:r>
      <w:r w:rsidRPr="009B4D5C">
        <w:rPr>
          <w:i/>
          <w:iCs/>
          <w:sz w:val="22"/>
          <w:szCs w:val="22"/>
        </w:rPr>
        <w:tab/>
        <w:t>Saldo de inversiones en valores emitidos por entidades financieras.</w:t>
      </w:r>
    </w:p>
    <w:p w14:paraId="2B34341A" w14:textId="77777777" w:rsidR="00817DB4" w:rsidRPr="009B4D5C" w:rsidRDefault="00817DB4" w:rsidP="00817DB4">
      <w:pPr>
        <w:ind w:left="851" w:hanging="425"/>
        <w:jc w:val="both"/>
        <w:rPr>
          <w:i/>
          <w:iCs/>
          <w:sz w:val="22"/>
          <w:szCs w:val="22"/>
        </w:rPr>
      </w:pPr>
      <w:r w:rsidRPr="009B4D5C">
        <w:rPr>
          <w:i/>
          <w:iCs/>
          <w:sz w:val="22"/>
          <w:szCs w:val="22"/>
        </w:rPr>
        <w:t>c.</w:t>
      </w:r>
      <w:r w:rsidRPr="009B4D5C">
        <w:rPr>
          <w:i/>
          <w:iCs/>
          <w:sz w:val="22"/>
          <w:szCs w:val="22"/>
        </w:rPr>
        <w:tab/>
        <w:t>Primas de pólizas colectivas cuyos tomadores son entidades financieras.</w:t>
      </w:r>
    </w:p>
    <w:p w14:paraId="0CBF87F0" w14:textId="77777777" w:rsidR="00817DB4" w:rsidRPr="009B4D5C" w:rsidRDefault="00817DB4" w:rsidP="00817DB4">
      <w:pPr>
        <w:jc w:val="both"/>
        <w:rPr>
          <w:sz w:val="22"/>
          <w:szCs w:val="22"/>
        </w:rPr>
      </w:pPr>
    </w:p>
    <w:p w14:paraId="2ACEC866" w14:textId="77777777" w:rsidR="00817DB4" w:rsidRPr="009B4D5C" w:rsidDel="001B3020" w:rsidRDefault="00817DB4" w:rsidP="00817DB4">
      <w:pPr>
        <w:jc w:val="both"/>
        <w:rPr>
          <w:i/>
          <w:iCs/>
          <w:sz w:val="22"/>
          <w:szCs w:val="22"/>
        </w:rPr>
      </w:pPr>
      <w:r w:rsidRPr="009B4D5C">
        <w:rPr>
          <w:i/>
          <w:iCs/>
          <w:sz w:val="22"/>
          <w:szCs w:val="22"/>
        </w:rPr>
        <w:t xml:space="preserve">La interconexión se refiere a la relación del sector con otras partes del sistema financiero y con la economía real. Esta relación se puede observar tanto en los activos como en las obligaciones que las entidades mantienen con entidades de otros sectores. </w:t>
      </w:r>
    </w:p>
    <w:p w14:paraId="59EAAC19" w14:textId="77777777" w:rsidR="00817DB4" w:rsidRPr="009B4D5C" w:rsidRDefault="00817DB4" w:rsidP="00817DB4">
      <w:pPr>
        <w:jc w:val="both"/>
        <w:rPr>
          <w:i/>
          <w:iCs/>
          <w:sz w:val="22"/>
          <w:szCs w:val="22"/>
        </w:rPr>
      </w:pPr>
    </w:p>
    <w:p w14:paraId="1AD91A05" w14:textId="77777777" w:rsidR="00817DB4" w:rsidRPr="009B4D5C" w:rsidRDefault="00817DB4" w:rsidP="00817DB4">
      <w:pPr>
        <w:jc w:val="both"/>
        <w:rPr>
          <w:i/>
          <w:iCs/>
          <w:sz w:val="22"/>
          <w:szCs w:val="22"/>
        </w:rPr>
      </w:pPr>
      <w:r w:rsidRPr="009B4D5C">
        <w:rPr>
          <w:i/>
          <w:iCs/>
          <w:sz w:val="22"/>
          <w:szCs w:val="22"/>
        </w:rPr>
        <w:t>En la presente metodología se incluyen indicadores para evaluar específicamente la interconexión de las entidades aseguradoras y reaseguradoras con el gobierno y con las entidades financieras, a mayor interconexión mayor potencial de tener efectos sistémicos.</w:t>
      </w:r>
    </w:p>
    <w:p w14:paraId="15C7EA9D" w14:textId="77777777" w:rsidR="00817DB4" w:rsidRPr="009B4D5C" w:rsidRDefault="00817DB4" w:rsidP="00817DB4">
      <w:pPr>
        <w:jc w:val="both"/>
        <w:rPr>
          <w:sz w:val="22"/>
          <w:szCs w:val="22"/>
        </w:rPr>
      </w:pPr>
    </w:p>
    <w:p w14:paraId="318056BD" w14:textId="77777777" w:rsidR="00817DB4" w:rsidRPr="009B4D5C" w:rsidRDefault="00817DB4" w:rsidP="00817DB4">
      <w:pPr>
        <w:tabs>
          <w:tab w:val="left" w:pos="426"/>
        </w:tabs>
        <w:jc w:val="both"/>
        <w:rPr>
          <w:b/>
          <w:bCs/>
          <w:i/>
          <w:iCs/>
          <w:sz w:val="22"/>
          <w:szCs w:val="22"/>
        </w:rPr>
      </w:pPr>
      <w:r w:rsidRPr="009B4D5C">
        <w:rPr>
          <w:b/>
          <w:bCs/>
          <w:i/>
          <w:iCs/>
          <w:sz w:val="22"/>
          <w:szCs w:val="22"/>
        </w:rPr>
        <w:t>3.</w:t>
      </w:r>
      <w:r w:rsidRPr="009B4D5C">
        <w:rPr>
          <w:b/>
          <w:bCs/>
          <w:i/>
          <w:iCs/>
          <w:sz w:val="22"/>
          <w:szCs w:val="22"/>
        </w:rPr>
        <w:tab/>
        <w:t xml:space="preserve">Complejidad. </w:t>
      </w:r>
    </w:p>
    <w:p w14:paraId="238C5200" w14:textId="77777777" w:rsidR="00817DB4" w:rsidRPr="009B4D5C" w:rsidRDefault="00817DB4" w:rsidP="00817DB4">
      <w:pPr>
        <w:jc w:val="both"/>
        <w:rPr>
          <w:sz w:val="22"/>
          <w:szCs w:val="22"/>
        </w:rPr>
      </w:pPr>
    </w:p>
    <w:p w14:paraId="59328C76" w14:textId="77777777" w:rsidR="00817DB4" w:rsidRPr="009B4D5C" w:rsidRDefault="00817DB4" w:rsidP="00817DB4">
      <w:pPr>
        <w:ind w:left="851" w:hanging="425"/>
        <w:jc w:val="both"/>
        <w:rPr>
          <w:i/>
          <w:iCs/>
          <w:sz w:val="22"/>
          <w:szCs w:val="22"/>
        </w:rPr>
      </w:pPr>
      <w:r w:rsidRPr="009B4D5C">
        <w:rPr>
          <w:i/>
          <w:iCs/>
          <w:sz w:val="22"/>
          <w:szCs w:val="22"/>
        </w:rPr>
        <w:t>a.</w:t>
      </w:r>
      <w:r w:rsidRPr="009B4D5C">
        <w:rPr>
          <w:i/>
          <w:iCs/>
          <w:sz w:val="22"/>
          <w:szCs w:val="22"/>
        </w:rPr>
        <w:tab/>
        <w:t>Cantidad de pólizas activas.</w:t>
      </w:r>
    </w:p>
    <w:p w14:paraId="03436922" w14:textId="77777777" w:rsidR="00817DB4" w:rsidRPr="009B4D5C" w:rsidRDefault="00817DB4" w:rsidP="00817DB4">
      <w:pPr>
        <w:ind w:left="851" w:hanging="425"/>
        <w:jc w:val="both"/>
        <w:rPr>
          <w:i/>
          <w:iCs/>
          <w:sz w:val="22"/>
          <w:szCs w:val="22"/>
        </w:rPr>
      </w:pPr>
      <w:r w:rsidRPr="009B4D5C">
        <w:rPr>
          <w:i/>
          <w:iCs/>
          <w:sz w:val="22"/>
          <w:szCs w:val="22"/>
        </w:rPr>
        <w:t>b.</w:t>
      </w:r>
      <w:r w:rsidRPr="009B4D5C">
        <w:rPr>
          <w:i/>
          <w:iCs/>
          <w:sz w:val="22"/>
          <w:szCs w:val="22"/>
        </w:rPr>
        <w:tab/>
        <w:t xml:space="preserve">Cantidad de agentes de seguros acreditados. </w:t>
      </w:r>
    </w:p>
    <w:p w14:paraId="4C24DDCC" w14:textId="77777777" w:rsidR="00817DB4" w:rsidRPr="009B4D5C" w:rsidRDefault="00817DB4" w:rsidP="00817DB4">
      <w:pPr>
        <w:ind w:left="851" w:hanging="425"/>
        <w:jc w:val="both"/>
        <w:rPr>
          <w:i/>
          <w:iCs/>
          <w:sz w:val="22"/>
          <w:szCs w:val="22"/>
        </w:rPr>
      </w:pPr>
      <w:r w:rsidRPr="009B4D5C">
        <w:rPr>
          <w:i/>
          <w:iCs/>
          <w:sz w:val="22"/>
          <w:szCs w:val="22"/>
        </w:rPr>
        <w:t>c.</w:t>
      </w:r>
      <w:r w:rsidRPr="009B4D5C">
        <w:rPr>
          <w:i/>
          <w:iCs/>
          <w:sz w:val="22"/>
          <w:szCs w:val="22"/>
        </w:rPr>
        <w:tab/>
        <w:t>Cantidad de titulares de pólizas.</w:t>
      </w:r>
    </w:p>
    <w:p w14:paraId="3D5DA78A" w14:textId="77777777" w:rsidR="00817DB4" w:rsidRPr="009B4D5C" w:rsidRDefault="00817DB4" w:rsidP="00817DB4">
      <w:pPr>
        <w:jc w:val="both"/>
        <w:rPr>
          <w:sz w:val="22"/>
          <w:szCs w:val="22"/>
        </w:rPr>
      </w:pPr>
    </w:p>
    <w:p w14:paraId="4CF12E1A" w14:textId="77777777" w:rsidR="00817DB4" w:rsidRPr="009B4D5C" w:rsidRDefault="00817DB4" w:rsidP="00817DB4">
      <w:pPr>
        <w:jc w:val="both"/>
        <w:rPr>
          <w:i/>
          <w:iCs/>
          <w:sz w:val="22"/>
          <w:szCs w:val="22"/>
        </w:rPr>
      </w:pPr>
      <w:r w:rsidRPr="009B4D5C">
        <w:rPr>
          <w:i/>
          <w:iCs/>
          <w:sz w:val="22"/>
          <w:szCs w:val="22"/>
        </w:rPr>
        <w:t>En la medida que una entidad atienda un mercado más diverso y tenga una variedad más amplia de productos y canales de distribución más complejos, una eventual salida podría resultar más difícil y generar mayores efectos negativos.</w:t>
      </w:r>
    </w:p>
    <w:p w14:paraId="5B827489" w14:textId="77777777" w:rsidR="00817DB4" w:rsidRPr="009B4D5C" w:rsidRDefault="00817DB4" w:rsidP="00817DB4">
      <w:pPr>
        <w:jc w:val="both"/>
        <w:rPr>
          <w:sz w:val="22"/>
          <w:szCs w:val="22"/>
        </w:rPr>
      </w:pPr>
    </w:p>
    <w:p w14:paraId="36BD847C" w14:textId="77777777" w:rsidR="00817DB4" w:rsidRPr="009B4D5C" w:rsidRDefault="00817DB4" w:rsidP="00817DB4">
      <w:pPr>
        <w:tabs>
          <w:tab w:val="left" w:pos="426"/>
        </w:tabs>
        <w:jc w:val="both"/>
        <w:rPr>
          <w:b/>
          <w:bCs/>
          <w:i/>
          <w:iCs/>
          <w:sz w:val="22"/>
          <w:szCs w:val="22"/>
        </w:rPr>
      </w:pPr>
      <w:r w:rsidRPr="009B4D5C">
        <w:rPr>
          <w:b/>
          <w:bCs/>
          <w:i/>
          <w:iCs/>
          <w:sz w:val="22"/>
          <w:szCs w:val="22"/>
        </w:rPr>
        <w:t>4.</w:t>
      </w:r>
      <w:r w:rsidRPr="009B4D5C">
        <w:rPr>
          <w:b/>
          <w:bCs/>
          <w:i/>
          <w:iCs/>
          <w:sz w:val="22"/>
          <w:szCs w:val="22"/>
        </w:rPr>
        <w:tab/>
        <w:t>Grado de sustitución.</w:t>
      </w:r>
    </w:p>
    <w:p w14:paraId="1F906549" w14:textId="77777777" w:rsidR="00817DB4" w:rsidRPr="009B4D5C" w:rsidRDefault="00817DB4" w:rsidP="00817DB4">
      <w:pPr>
        <w:jc w:val="both"/>
        <w:rPr>
          <w:sz w:val="22"/>
          <w:szCs w:val="22"/>
        </w:rPr>
      </w:pPr>
    </w:p>
    <w:p w14:paraId="018A6C01" w14:textId="77777777" w:rsidR="00817DB4" w:rsidRPr="009B4D5C" w:rsidRDefault="00817DB4" w:rsidP="00817DB4">
      <w:pPr>
        <w:ind w:left="851" w:hanging="425"/>
        <w:jc w:val="both"/>
        <w:rPr>
          <w:i/>
          <w:iCs/>
          <w:sz w:val="22"/>
          <w:szCs w:val="22"/>
        </w:rPr>
      </w:pPr>
      <w:r w:rsidRPr="009B4D5C">
        <w:rPr>
          <w:i/>
          <w:iCs/>
          <w:sz w:val="22"/>
          <w:szCs w:val="22"/>
        </w:rPr>
        <w:t>a.</w:t>
      </w:r>
      <w:r w:rsidRPr="009B4D5C">
        <w:rPr>
          <w:i/>
          <w:iCs/>
          <w:sz w:val="22"/>
          <w:szCs w:val="22"/>
        </w:rPr>
        <w:tab/>
        <w:t>Ingresos por primas de pólizas de riesgos catastróficos.</w:t>
      </w:r>
    </w:p>
    <w:p w14:paraId="365E049B" w14:textId="77777777" w:rsidR="00817DB4" w:rsidRPr="009B4D5C" w:rsidRDefault="00817DB4" w:rsidP="00817DB4">
      <w:pPr>
        <w:ind w:left="851" w:hanging="425"/>
        <w:jc w:val="both"/>
        <w:rPr>
          <w:i/>
          <w:iCs/>
          <w:sz w:val="22"/>
          <w:szCs w:val="22"/>
        </w:rPr>
      </w:pPr>
      <w:r w:rsidRPr="009B4D5C">
        <w:rPr>
          <w:i/>
          <w:iCs/>
          <w:sz w:val="22"/>
          <w:szCs w:val="22"/>
        </w:rPr>
        <w:t>b.</w:t>
      </w:r>
      <w:r w:rsidRPr="009B4D5C">
        <w:rPr>
          <w:i/>
          <w:iCs/>
          <w:sz w:val="22"/>
          <w:szCs w:val="22"/>
        </w:rPr>
        <w:tab/>
        <w:t>Ingresos por primas de pólizas de riesgos del trabajo.</w:t>
      </w:r>
    </w:p>
    <w:p w14:paraId="4FE38886" w14:textId="77777777" w:rsidR="00817DB4" w:rsidRPr="009B4D5C" w:rsidRDefault="00817DB4" w:rsidP="00817DB4">
      <w:pPr>
        <w:ind w:left="851" w:hanging="425"/>
        <w:jc w:val="both"/>
        <w:rPr>
          <w:i/>
          <w:iCs/>
          <w:sz w:val="22"/>
          <w:szCs w:val="22"/>
        </w:rPr>
      </w:pPr>
      <w:r w:rsidRPr="009B4D5C">
        <w:rPr>
          <w:i/>
          <w:iCs/>
          <w:sz w:val="22"/>
          <w:szCs w:val="22"/>
        </w:rPr>
        <w:t>c.</w:t>
      </w:r>
      <w:r w:rsidRPr="009B4D5C">
        <w:rPr>
          <w:i/>
          <w:iCs/>
          <w:sz w:val="22"/>
          <w:szCs w:val="22"/>
        </w:rPr>
        <w:tab/>
        <w:t>Ingresos por primas de pólizas de Seguro Obligatorio de Automóviles.</w:t>
      </w:r>
    </w:p>
    <w:p w14:paraId="66F9564B" w14:textId="77777777" w:rsidR="00817DB4" w:rsidRPr="009B4D5C" w:rsidRDefault="00817DB4" w:rsidP="00817DB4">
      <w:pPr>
        <w:jc w:val="both"/>
        <w:rPr>
          <w:sz w:val="22"/>
          <w:szCs w:val="22"/>
        </w:rPr>
      </w:pPr>
    </w:p>
    <w:p w14:paraId="06705E61" w14:textId="77777777" w:rsidR="00817DB4" w:rsidRPr="009B4D5C" w:rsidRDefault="00817DB4" w:rsidP="00817DB4">
      <w:pPr>
        <w:jc w:val="both"/>
        <w:rPr>
          <w:i/>
          <w:iCs/>
          <w:sz w:val="22"/>
          <w:szCs w:val="22"/>
        </w:rPr>
      </w:pPr>
      <w:r w:rsidRPr="009B4D5C">
        <w:rPr>
          <w:i/>
          <w:iCs/>
          <w:sz w:val="22"/>
          <w:szCs w:val="22"/>
        </w:rPr>
        <w:t>Se considera que una entidad presenta un grado de sustitución bajo, en la medida que ofrece seguros que pocas o ninguna otra entidad ofrece o que estos seguros sean difíciles de asumir por otras entidades en caso de una salida del mercado.</w:t>
      </w:r>
    </w:p>
    <w:p w14:paraId="1FE16EA1" w14:textId="77777777" w:rsidR="00817DB4" w:rsidRPr="009B4D5C" w:rsidRDefault="00817DB4" w:rsidP="00817DB4">
      <w:pPr>
        <w:jc w:val="both"/>
        <w:rPr>
          <w:sz w:val="22"/>
          <w:szCs w:val="22"/>
        </w:rPr>
      </w:pPr>
    </w:p>
    <w:p w14:paraId="265DE397" w14:textId="77777777" w:rsidR="00817DB4" w:rsidRPr="009B4D5C" w:rsidRDefault="00817DB4" w:rsidP="00817DB4">
      <w:pPr>
        <w:jc w:val="both"/>
        <w:rPr>
          <w:b/>
          <w:bCs/>
          <w:i/>
          <w:iCs/>
          <w:sz w:val="22"/>
          <w:szCs w:val="22"/>
        </w:rPr>
      </w:pPr>
      <w:r w:rsidRPr="009B4D5C">
        <w:rPr>
          <w:b/>
          <w:bCs/>
          <w:i/>
          <w:iCs/>
          <w:sz w:val="22"/>
          <w:szCs w:val="22"/>
        </w:rPr>
        <w:t>Artículo 13. Pesos de las dimensiones e indicadores.</w:t>
      </w:r>
    </w:p>
    <w:p w14:paraId="7AF0EE2B" w14:textId="77777777" w:rsidR="00817DB4" w:rsidRPr="009B4D5C" w:rsidRDefault="00817DB4" w:rsidP="00817DB4">
      <w:pPr>
        <w:jc w:val="both"/>
        <w:rPr>
          <w:sz w:val="22"/>
          <w:szCs w:val="22"/>
        </w:rPr>
      </w:pPr>
    </w:p>
    <w:p w14:paraId="07EDF16B" w14:textId="77777777" w:rsidR="00817DB4" w:rsidRPr="009B4D5C" w:rsidRDefault="00817DB4" w:rsidP="00817DB4">
      <w:pPr>
        <w:jc w:val="both"/>
        <w:rPr>
          <w:i/>
          <w:iCs/>
          <w:sz w:val="22"/>
          <w:szCs w:val="22"/>
        </w:rPr>
      </w:pPr>
      <w:r w:rsidRPr="009B4D5C">
        <w:rPr>
          <w:i/>
          <w:iCs/>
          <w:sz w:val="22"/>
          <w:szCs w:val="22"/>
        </w:rPr>
        <w:t xml:space="preserve">La siguiente tabla muestra cada una de las dimensiones para la identificación de entidades de importancia sistémica, así como el indicador y el peso correspondiente. </w:t>
      </w:r>
    </w:p>
    <w:p w14:paraId="4E534AD8" w14:textId="77777777" w:rsidR="00817DB4" w:rsidRPr="009B4D5C" w:rsidRDefault="00817DB4" w:rsidP="00817DB4">
      <w:pPr>
        <w:jc w:val="both"/>
        <w:rPr>
          <w:i/>
          <w:iCs/>
          <w:sz w:val="22"/>
          <w:szCs w:val="22"/>
        </w:rPr>
      </w:pPr>
    </w:p>
    <w:p w14:paraId="6C6B2A6A" w14:textId="77777777" w:rsidR="00817DB4" w:rsidRPr="009B4D5C" w:rsidRDefault="00817DB4" w:rsidP="00817DB4">
      <w:pPr>
        <w:jc w:val="both"/>
        <w:rPr>
          <w:i/>
          <w:iCs/>
          <w:sz w:val="22"/>
          <w:szCs w:val="22"/>
        </w:rPr>
      </w:pPr>
      <w:r w:rsidRPr="009B4D5C">
        <w:rPr>
          <w:i/>
          <w:iCs/>
          <w:sz w:val="22"/>
          <w:szCs w:val="22"/>
        </w:rPr>
        <w:t xml:space="preserve">Dependiendo del número de indicadores en cada dimensión, se reparte en forma equitativa el ponderador respectivo. </w:t>
      </w:r>
    </w:p>
    <w:p w14:paraId="66471E90" w14:textId="77777777" w:rsidR="00817DB4" w:rsidRPr="009B4D5C" w:rsidRDefault="00817DB4" w:rsidP="00817DB4">
      <w:pPr>
        <w:jc w:val="both"/>
        <w:rPr>
          <w:sz w:val="22"/>
          <w:szCs w:val="22"/>
        </w:rPr>
      </w:pPr>
    </w:p>
    <w:tbl>
      <w:tblPr>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94"/>
        <w:gridCol w:w="4780"/>
        <w:gridCol w:w="1276"/>
        <w:gridCol w:w="1274"/>
      </w:tblGrid>
      <w:tr w:rsidR="00817DB4" w:rsidRPr="009B4D5C" w14:paraId="2329B6CC" w14:textId="77777777" w:rsidTr="002F2BF6">
        <w:trPr>
          <w:trHeight w:val="300"/>
        </w:trPr>
        <w:tc>
          <w:tcPr>
            <w:tcW w:w="1594"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center"/>
            <w:hideMark/>
          </w:tcPr>
          <w:p w14:paraId="516C7678" w14:textId="77777777" w:rsidR="00817DB4" w:rsidRPr="009B4D5C" w:rsidRDefault="00817DB4" w:rsidP="00817DB4">
            <w:pPr>
              <w:jc w:val="both"/>
              <w:rPr>
                <w:b/>
                <w:bCs/>
                <w:i/>
                <w:iCs/>
                <w:color w:val="FFFFFF" w:themeColor="background1"/>
                <w:sz w:val="22"/>
                <w:szCs w:val="22"/>
              </w:rPr>
            </w:pPr>
            <w:bookmarkStart w:id="3" w:name="_Hlk117879050"/>
            <w:r w:rsidRPr="009B4D5C">
              <w:rPr>
                <w:b/>
                <w:bCs/>
                <w:i/>
                <w:iCs/>
                <w:color w:val="FFFFFF" w:themeColor="background1"/>
                <w:sz w:val="22"/>
                <w:szCs w:val="22"/>
              </w:rPr>
              <w:lastRenderedPageBreak/>
              <w:t>Dimensión</w:t>
            </w:r>
          </w:p>
        </w:tc>
        <w:tc>
          <w:tcPr>
            <w:tcW w:w="4780"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center"/>
            <w:hideMark/>
          </w:tcPr>
          <w:p w14:paraId="4909B29C"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t>Indicador</w:t>
            </w:r>
          </w:p>
        </w:tc>
        <w:tc>
          <w:tcPr>
            <w:tcW w:w="1276"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1415DC6C"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t>Ponderador</w:t>
            </w:r>
          </w:p>
          <w:p w14:paraId="25B5D53B"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t>Dimensión</w:t>
            </w:r>
          </w:p>
        </w:tc>
        <w:tc>
          <w:tcPr>
            <w:tcW w:w="1274"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center"/>
            <w:hideMark/>
          </w:tcPr>
          <w:p w14:paraId="4BC2028A"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t>Ponderador</w:t>
            </w:r>
          </w:p>
          <w:p w14:paraId="6CE83442"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t>Indicador</w:t>
            </w:r>
          </w:p>
        </w:tc>
      </w:tr>
      <w:tr w:rsidR="00817DB4" w:rsidRPr="009B4D5C" w14:paraId="414444AA" w14:textId="77777777" w:rsidTr="002F2BF6">
        <w:trPr>
          <w:trHeight w:val="300"/>
        </w:trPr>
        <w:tc>
          <w:tcPr>
            <w:tcW w:w="1594" w:type="dxa"/>
            <w:vMerge w:val="restart"/>
            <w:tcBorders>
              <w:top w:val="single" w:sz="4" w:space="0" w:color="auto"/>
              <w:left w:val="single" w:sz="4" w:space="0" w:color="auto"/>
              <w:right w:val="single" w:sz="4" w:space="0" w:color="auto"/>
            </w:tcBorders>
            <w:noWrap/>
            <w:vAlign w:val="center"/>
            <w:hideMark/>
          </w:tcPr>
          <w:p w14:paraId="12567C77" w14:textId="77777777" w:rsidR="00817DB4" w:rsidRPr="009B4D5C" w:rsidRDefault="00817DB4" w:rsidP="00817DB4">
            <w:pPr>
              <w:jc w:val="both"/>
              <w:rPr>
                <w:i/>
                <w:iCs/>
                <w:sz w:val="22"/>
                <w:szCs w:val="22"/>
              </w:rPr>
            </w:pPr>
            <w:r w:rsidRPr="009B4D5C">
              <w:rPr>
                <w:i/>
                <w:iCs/>
                <w:sz w:val="22"/>
                <w:szCs w:val="22"/>
              </w:rPr>
              <w:t xml:space="preserve">Tamaño </w:t>
            </w:r>
          </w:p>
        </w:tc>
        <w:tc>
          <w:tcPr>
            <w:tcW w:w="4780" w:type="dxa"/>
            <w:tcBorders>
              <w:top w:val="single" w:sz="4" w:space="0" w:color="auto"/>
              <w:left w:val="single" w:sz="4" w:space="0" w:color="auto"/>
              <w:bottom w:val="single" w:sz="4" w:space="0" w:color="auto"/>
              <w:right w:val="single" w:sz="4" w:space="0" w:color="auto"/>
            </w:tcBorders>
            <w:noWrap/>
            <w:hideMark/>
          </w:tcPr>
          <w:p w14:paraId="1AF1983B" w14:textId="77777777" w:rsidR="00817DB4" w:rsidRPr="009B4D5C" w:rsidRDefault="00817DB4" w:rsidP="00817DB4">
            <w:pPr>
              <w:jc w:val="center"/>
              <w:rPr>
                <w:i/>
                <w:iCs/>
                <w:sz w:val="22"/>
                <w:szCs w:val="22"/>
              </w:rPr>
            </w:pPr>
            <w:r w:rsidRPr="009B4D5C">
              <w:rPr>
                <w:i/>
                <w:iCs/>
                <w:sz w:val="22"/>
                <w:szCs w:val="22"/>
              </w:rPr>
              <w:t>Activos totales</w:t>
            </w:r>
          </w:p>
        </w:tc>
        <w:tc>
          <w:tcPr>
            <w:tcW w:w="1276" w:type="dxa"/>
            <w:vMerge w:val="restart"/>
            <w:tcBorders>
              <w:top w:val="single" w:sz="4" w:space="0" w:color="auto"/>
              <w:left w:val="single" w:sz="4" w:space="0" w:color="auto"/>
              <w:right w:val="single" w:sz="4" w:space="0" w:color="auto"/>
            </w:tcBorders>
          </w:tcPr>
          <w:p w14:paraId="4169CF59" w14:textId="77777777" w:rsidR="00817DB4" w:rsidRPr="009B4D5C" w:rsidRDefault="00817DB4" w:rsidP="00817DB4">
            <w:pPr>
              <w:jc w:val="center"/>
              <w:rPr>
                <w:i/>
                <w:iCs/>
                <w:sz w:val="22"/>
                <w:szCs w:val="22"/>
              </w:rPr>
            </w:pPr>
            <w:r w:rsidRPr="009B4D5C">
              <w:rPr>
                <w:i/>
                <w:iCs/>
                <w:sz w:val="22"/>
                <w:szCs w:val="22"/>
              </w:rPr>
              <w:t>18,18%</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134460DA" w14:textId="77777777" w:rsidR="00817DB4" w:rsidRPr="009B4D5C" w:rsidRDefault="00817DB4" w:rsidP="00817DB4">
            <w:pPr>
              <w:jc w:val="center"/>
              <w:rPr>
                <w:i/>
                <w:iCs/>
                <w:sz w:val="22"/>
                <w:szCs w:val="22"/>
              </w:rPr>
            </w:pPr>
            <w:r w:rsidRPr="009B4D5C">
              <w:rPr>
                <w:i/>
                <w:iCs/>
                <w:sz w:val="22"/>
                <w:szCs w:val="22"/>
              </w:rPr>
              <w:t>9,09%</w:t>
            </w:r>
          </w:p>
        </w:tc>
      </w:tr>
      <w:tr w:rsidR="00817DB4" w:rsidRPr="009B4D5C" w14:paraId="3AB39CA5" w14:textId="77777777" w:rsidTr="002F2BF6">
        <w:trPr>
          <w:trHeight w:val="300"/>
        </w:trPr>
        <w:tc>
          <w:tcPr>
            <w:tcW w:w="1594" w:type="dxa"/>
            <w:vMerge/>
            <w:tcBorders>
              <w:left w:val="single" w:sz="4" w:space="0" w:color="auto"/>
              <w:bottom w:val="single" w:sz="4" w:space="0" w:color="auto"/>
              <w:right w:val="single" w:sz="4" w:space="0" w:color="auto"/>
            </w:tcBorders>
            <w:noWrap/>
            <w:vAlign w:val="center"/>
          </w:tcPr>
          <w:p w14:paraId="730B13CF" w14:textId="77777777" w:rsidR="00817DB4" w:rsidRPr="009B4D5C" w:rsidRDefault="00817DB4" w:rsidP="00817DB4">
            <w:pPr>
              <w:jc w:val="both"/>
              <w:rPr>
                <w:i/>
                <w:iCs/>
                <w:sz w:val="22"/>
                <w:szCs w:val="22"/>
              </w:rPr>
            </w:pPr>
          </w:p>
        </w:tc>
        <w:tc>
          <w:tcPr>
            <w:tcW w:w="4780" w:type="dxa"/>
            <w:tcBorders>
              <w:top w:val="single" w:sz="4" w:space="0" w:color="auto"/>
              <w:left w:val="single" w:sz="4" w:space="0" w:color="auto"/>
              <w:bottom w:val="single" w:sz="4" w:space="0" w:color="auto"/>
              <w:right w:val="single" w:sz="4" w:space="0" w:color="auto"/>
            </w:tcBorders>
            <w:noWrap/>
          </w:tcPr>
          <w:p w14:paraId="0B03D52D" w14:textId="77777777" w:rsidR="00817DB4" w:rsidRPr="009B4D5C" w:rsidRDefault="00817DB4" w:rsidP="00817DB4">
            <w:pPr>
              <w:jc w:val="center"/>
              <w:rPr>
                <w:i/>
                <w:iCs/>
                <w:sz w:val="22"/>
                <w:szCs w:val="22"/>
              </w:rPr>
            </w:pPr>
            <w:r w:rsidRPr="009B4D5C">
              <w:rPr>
                <w:i/>
                <w:iCs/>
                <w:sz w:val="22"/>
                <w:szCs w:val="22"/>
              </w:rPr>
              <w:t>Ingresos por primas</w:t>
            </w:r>
          </w:p>
        </w:tc>
        <w:tc>
          <w:tcPr>
            <w:tcW w:w="1276" w:type="dxa"/>
            <w:vMerge/>
            <w:tcBorders>
              <w:left w:val="single" w:sz="4" w:space="0" w:color="auto"/>
              <w:bottom w:val="single" w:sz="4" w:space="0" w:color="auto"/>
              <w:right w:val="single" w:sz="4" w:space="0" w:color="auto"/>
            </w:tcBorders>
          </w:tcPr>
          <w:p w14:paraId="2D15E542" w14:textId="77777777" w:rsidR="00817DB4" w:rsidRPr="009B4D5C" w:rsidRDefault="00817DB4" w:rsidP="00817DB4">
            <w:pPr>
              <w:jc w:val="center"/>
              <w:rPr>
                <w:i/>
                <w:iCs/>
                <w:sz w:val="22"/>
                <w:szCs w:val="22"/>
              </w:rPr>
            </w:pPr>
          </w:p>
        </w:tc>
        <w:tc>
          <w:tcPr>
            <w:tcW w:w="1274" w:type="dxa"/>
            <w:tcBorders>
              <w:top w:val="single" w:sz="4" w:space="0" w:color="auto"/>
              <w:left w:val="single" w:sz="4" w:space="0" w:color="auto"/>
              <w:bottom w:val="single" w:sz="4" w:space="0" w:color="auto"/>
              <w:right w:val="single" w:sz="4" w:space="0" w:color="auto"/>
            </w:tcBorders>
            <w:noWrap/>
            <w:vAlign w:val="center"/>
          </w:tcPr>
          <w:p w14:paraId="3C08DA83" w14:textId="77777777" w:rsidR="00817DB4" w:rsidRPr="009B4D5C" w:rsidRDefault="00817DB4" w:rsidP="00817DB4">
            <w:pPr>
              <w:jc w:val="center"/>
              <w:rPr>
                <w:i/>
                <w:iCs/>
                <w:sz w:val="22"/>
                <w:szCs w:val="22"/>
              </w:rPr>
            </w:pPr>
            <w:r w:rsidRPr="009B4D5C">
              <w:rPr>
                <w:i/>
                <w:iCs/>
                <w:sz w:val="22"/>
                <w:szCs w:val="22"/>
              </w:rPr>
              <w:t>9,09%</w:t>
            </w:r>
          </w:p>
        </w:tc>
      </w:tr>
      <w:tr w:rsidR="00817DB4" w:rsidRPr="009B4D5C" w14:paraId="1E59C0CD" w14:textId="77777777" w:rsidTr="002F2BF6">
        <w:trPr>
          <w:trHeight w:val="300"/>
        </w:trPr>
        <w:tc>
          <w:tcPr>
            <w:tcW w:w="1594" w:type="dxa"/>
            <w:vMerge w:val="restart"/>
            <w:tcBorders>
              <w:top w:val="single" w:sz="4" w:space="0" w:color="auto"/>
              <w:left w:val="single" w:sz="4" w:space="0" w:color="auto"/>
              <w:right w:val="single" w:sz="4" w:space="0" w:color="auto"/>
            </w:tcBorders>
            <w:noWrap/>
            <w:vAlign w:val="center"/>
            <w:hideMark/>
          </w:tcPr>
          <w:p w14:paraId="178D439B" w14:textId="77777777" w:rsidR="00817DB4" w:rsidRPr="009B4D5C" w:rsidRDefault="00817DB4" w:rsidP="00817DB4">
            <w:pPr>
              <w:jc w:val="both"/>
              <w:rPr>
                <w:i/>
                <w:iCs/>
                <w:sz w:val="22"/>
                <w:szCs w:val="22"/>
              </w:rPr>
            </w:pPr>
            <w:r w:rsidRPr="009B4D5C">
              <w:rPr>
                <w:i/>
                <w:iCs/>
                <w:sz w:val="22"/>
                <w:szCs w:val="22"/>
              </w:rPr>
              <w:t xml:space="preserve">Interconexión </w:t>
            </w:r>
          </w:p>
        </w:tc>
        <w:tc>
          <w:tcPr>
            <w:tcW w:w="4780" w:type="dxa"/>
            <w:tcBorders>
              <w:top w:val="single" w:sz="4" w:space="0" w:color="auto"/>
              <w:left w:val="single" w:sz="4" w:space="0" w:color="auto"/>
              <w:bottom w:val="single" w:sz="4" w:space="0" w:color="auto"/>
              <w:right w:val="single" w:sz="4" w:space="0" w:color="auto"/>
            </w:tcBorders>
            <w:noWrap/>
            <w:hideMark/>
          </w:tcPr>
          <w:p w14:paraId="216746BC" w14:textId="77777777" w:rsidR="00817DB4" w:rsidRPr="009B4D5C" w:rsidRDefault="00817DB4" w:rsidP="00817DB4">
            <w:pPr>
              <w:jc w:val="center"/>
              <w:rPr>
                <w:i/>
                <w:iCs/>
                <w:sz w:val="22"/>
                <w:szCs w:val="22"/>
              </w:rPr>
            </w:pPr>
            <w:r w:rsidRPr="009B4D5C">
              <w:rPr>
                <w:i/>
                <w:iCs/>
                <w:sz w:val="22"/>
                <w:szCs w:val="22"/>
              </w:rPr>
              <w:t>Saldo de inversiones en valores emitidos por el gobierno.</w:t>
            </w:r>
          </w:p>
        </w:tc>
        <w:tc>
          <w:tcPr>
            <w:tcW w:w="1276" w:type="dxa"/>
            <w:vMerge w:val="restart"/>
            <w:tcBorders>
              <w:top w:val="single" w:sz="4" w:space="0" w:color="auto"/>
              <w:left w:val="single" w:sz="4" w:space="0" w:color="auto"/>
              <w:right w:val="single" w:sz="4" w:space="0" w:color="auto"/>
            </w:tcBorders>
          </w:tcPr>
          <w:p w14:paraId="12116155" w14:textId="77777777" w:rsidR="00817DB4" w:rsidRPr="009B4D5C" w:rsidRDefault="00817DB4" w:rsidP="00817DB4">
            <w:pPr>
              <w:jc w:val="center"/>
              <w:rPr>
                <w:i/>
                <w:iCs/>
                <w:sz w:val="22"/>
                <w:szCs w:val="22"/>
              </w:rPr>
            </w:pPr>
            <w:r w:rsidRPr="009B4D5C">
              <w:rPr>
                <w:i/>
                <w:iCs/>
                <w:sz w:val="22"/>
                <w:szCs w:val="22"/>
              </w:rPr>
              <w:t>27,27%</w:t>
            </w:r>
          </w:p>
        </w:tc>
        <w:tc>
          <w:tcPr>
            <w:tcW w:w="1274" w:type="dxa"/>
            <w:tcBorders>
              <w:top w:val="single" w:sz="4" w:space="0" w:color="auto"/>
              <w:left w:val="single" w:sz="4" w:space="0" w:color="auto"/>
              <w:bottom w:val="single" w:sz="4" w:space="0" w:color="auto"/>
              <w:right w:val="single" w:sz="4" w:space="0" w:color="auto"/>
            </w:tcBorders>
            <w:noWrap/>
            <w:hideMark/>
          </w:tcPr>
          <w:p w14:paraId="3FCFB4D9" w14:textId="77777777" w:rsidR="00817DB4" w:rsidRPr="009B4D5C" w:rsidRDefault="00817DB4" w:rsidP="00817DB4">
            <w:pPr>
              <w:jc w:val="center"/>
              <w:rPr>
                <w:i/>
                <w:iCs/>
                <w:sz w:val="22"/>
                <w:szCs w:val="22"/>
              </w:rPr>
            </w:pPr>
            <w:r w:rsidRPr="009B4D5C">
              <w:rPr>
                <w:i/>
                <w:iCs/>
                <w:sz w:val="22"/>
                <w:szCs w:val="22"/>
              </w:rPr>
              <w:t>9,09%</w:t>
            </w:r>
          </w:p>
        </w:tc>
      </w:tr>
      <w:tr w:rsidR="00817DB4" w:rsidRPr="009B4D5C" w14:paraId="4C56F594" w14:textId="77777777" w:rsidTr="002F2BF6">
        <w:trPr>
          <w:trHeight w:val="300"/>
        </w:trPr>
        <w:tc>
          <w:tcPr>
            <w:tcW w:w="1594" w:type="dxa"/>
            <w:vMerge/>
            <w:tcBorders>
              <w:left w:val="single" w:sz="4" w:space="0" w:color="auto"/>
              <w:right w:val="single" w:sz="4" w:space="0" w:color="auto"/>
            </w:tcBorders>
            <w:vAlign w:val="center"/>
            <w:hideMark/>
          </w:tcPr>
          <w:p w14:paraId="74463563" w14:textId="77777777" w:rsidR="00817DB4" w:rsidRPr="009B4D5C" w:rsidRDefault="00817DB4" w:rsidP="00817DB4">
            <w:pPr>
              <w:jc w:val="both"/>
              <w:rPr>
                <w:i/>
                <w:iCs/>
                <w:sz w:val="22"/>
                <w:szCs w:val="22"/>
              </w:rPr>
            </w:pPr>
          </w:p>
        </w:tc>
        <w:tc>
          <w:tcPr>
            <w:tcW w:w="4780" w:type="dxa"/>
            <w:tcBorders>
              <w:top w:val="single" w:sz="4" w:space="0" w:color="auto"/>
              <w:left w:val="single" w:sz="4" w:space="0" w:color="auto"/>
              <w:bottom w:val="single" w:sz="4" w:space="0" w:color="auto"/>
              <w:right w:val="single" w:sz="4" w:space="0" w:color="auto"/>
            </w:tcBorders>
            <w:noWrap/>
            <w:hideMark/>
          </w:tcPr>
          <w:p w14:paraId="447B0AA7" w14:textId="77777777" w:rsidR="00817DB4" w:rsidRPr="009B4D5C" w:rsidRDefault="00817DB4" w:rsidP="00817DB4">
            <w:pPr>
              <w:jc w:val="center"/>
              <w:rPr>
                <w:i/>
                <w:iCs/>
                <w:sz w:val="22"/>
                <w:szCs w:val="22"/>
              </w:rPr>
            </w:pPr>
            <w:r w:rsidRPr="009B4D5C">
              <w:rPr>
                <w:i/>
                <w:iCs/>
                <w:sz w:val="22"/>
                <w:szCs w:val="22"/>
              </w:rPr>
              <w:t>Saldo de inversiones en valores emitidos por entidades financieras.</w:t>
            </w:r>
          </w:p>
        </w:tc>
        <w:tc>
          <w:tcPr>
            <w:tcW w:w="1276" w:type="dxa"/>
            <w:vMerge/>
            <w:tcBorders>
              <w:left w:val="single" w:sz="4" w:space="0" w:color="auto"/>
              <w:right w:val="single" w:sz="4" w:space="0" w:color="auto"/>
            </w:tcBorders>
          </w:tcPr>
          <w:p w14:paraId="3F5493E4" w14:textId="77777777" w:rsidR="00817DB4" w:rsidRPr="009B4D5C" w:rsidRDefault="00817DB4" w:rsidP="00817DB4">
            <w:pPr>
              <w:jc w:val="center"/>
              <w:rPr>
                <w:i/>
                <w:iCs/>
                <w:sz w:val="22"/>
                <w:szCs w:val="22"/>
              </w:rPr>
            </w:pPr>
          </w:p>
        </w:tc>
        <w:tc>
          <w:tcPr>
            <w:tcW w:w="1274" w:type="dxa"/>
            <w:tcBorders>
              <w:top w:val="single" w:sz="4" w:space="0" w:color="auto"/>
              <w:left w:val="single" w:sz="4" w:space="0" w:color="auto"/>
              <w:bottom w:val="single" w:sz="4" w:space="0" w:color="auto"/>
              <w:right w:val="single" w:sz="4" w:space="0" w:color="auto"/>
            </w:tcBorders>
            <w:noWrap/>
            <w:hideMark/>
          </w:tcPr>
          <w:p w14:paraId="2ABA68E5" w14:textId="77777777" w:rsidR="00817DB4" w:rsidRPr="009B4D5C" w:rsidRDefault="00817DB4" w:rsidP="00817DB4">
            <w:pPr>
              <w:jc w:val="center"/>
              <w:rPr>
                <w:i/>
                <w:iCs/>
                <w:sz w:val="22"/>
                <w:szCs w:val="22"/>
              </w:rPr>
            </w:pPr>
            <w:r w:rsidRPr="009B4D5C">
              <w:rPr>
                <w:i/>
                <w:iCs/>
                <w:sz w:val="22"/>
                <w:szCs w:val="22"/>
              </w:rPr>
              <w:t>9,09%</w:t>
            </w:r>
          </w:p>
        </w:tc>
      </w:tr>
      <w:tr w:rsidR="00817DB4" w:rsidRPr="009B4D5C" w14:paraId="3959B63B" w14:textId="77777777" w:rsidTr="002F2BF6">
        <w:trPr>
          <w:trHeight w:val="300"/>
        </w:trPr>
        <w:tc>
          <w:tcPr>
            <w:tcW w:w="1594" w:type="dxa"/>
            <w:vMerge/>
            <w:tcBorders>
              <w:left w:val="single" w:sz="4" w:space="0" w:color="auto"/>
              <w:bottom w:val="single" w:sz="4" w:space="0" w:color="auto"/>
              <w:right w:val="single" w:sz="4" w:space="0" w:color="auto"/>
            </w:tcBorders>
            <w:vAlign w:val="center"/>
          </w:tcPr>
          <w:p w14:paraId="3F18072E" w14:textId="77777777" w:rsidR="00817DB4" w:rsidRPr="009B4D5C" w:rsidRDefault="00817DB4" w:rsidP="00817DB4">
            <w:pPr>
              <w:jc w:val="both"/>
              <w:rPr>
                <w:i/>
                <w:iCs/>
                <w:sz w:val="22"/>
                <w:szCs w:val="22"/>
              </w:rPr>
            </w:pPr>
          </w:p>
        </w:tc>
        <w:tc>
          <w:tcPr>
            <w:tcW w:w="4780" w:type="dxa"/>
            <w:tcBorders>
              <w:top w:val="single" w:sz="4" w:space="0" w:color="auto"/>
              <w:left w:val="single" w:sz="4" w:space="0" w:color="auto"/>
              <w:bottom w:val="single" w:sz="4" w:space="0" w:color="auto"/>
              <w:right w:val="single" w:sz="4" w:space="0" w:color="auto"/>
            </w:tcBorders>
            <w:noWrap/>
          </w:tcPr>
          <w:p w14:paraId="17D85671" w14:textId="77777777" w:rsidR="00817DB4" w:rsidRPr="009B4D5C" w:rsidRDefault="00817DB4" w:rsidP="00817DB4">
            <w:pPr>
              <w:jc w:val="center"/>
              <w:rPr>
                <w:i/>
                <w:iCs/>
                <w:sz w:val="22"/>
                <w:szCs w:val="22"/>
              </w:rPr>
            </w:pPr>
            <w:r w:rsidRPr="009B4D5C">
              <w:rPr>
                <w:i/>
                <w:iCs/>
                <w:sz w:val="22"/>
                <w:szCs w:val="22"/>
              </w:rPr>
              <w:t>Primas de pólizas colectivas cuyos tomadores son entidades financieras</w:t>
            </w:r>
          </w:p>
        </w:tc>
        <w:tc>
          <w:tcPr>
            <w:tcW w:w="1276" w:type="dxa"/>
            <w:vMerge/>
            <w:tcBorders>
              <w:left w:val="single" w:sz="4" w:space="0" w:color="auto"/>
              <w:bottom w:val="single" w:sz="4" w:space="0" w:color="auto"/>
              <w:right w:val="single" w:sz="4" w:space="0" w:color="auto"/>
            </w:tcBorders>
          </w:tcPr>
          <w:p w14:paraId="6178E1A6" w14:textId="77777777" w:rsidR="00817DB4" w:rsidRPr="009B4D5C" w:rsidRDefault="00817DB4" w:rsidP="00817DB4">
            <w:pPr>
              <w:jc w:val="center"/>
              <w:rPr>
                <w:i/>
                <w:iCs/>
                <w:sz w:val="22"/>
                <w:szCs w:val="22"/>
              </w:rPr>
            </w:pPr>
          </w:p>
        </w:tc>
        <w:tc>
          <w:tcPr>
            <w:tcW w:w="1274" w:type="dxa"/>
            <w:tcBorders>
              <w:top w:val="single" w:sz="4" w:space="0" w:color="auto"/>
              <w:left w:val="single" w:sz="4" w:space="0" w:color="auto"/>
              <w:bottom w:val="single" w:sz="4" w:space="0" w:color="auto"/>
              <w:right w:val="single" w:sz="4" w:space="0" w:color="auto"/>
            </w:tcBorders>
            <w:noWrap/>
          </w:tcPr>
          <w:p w14:paraId="75758AC6" w14:textId="77777777" w:rsidR="00817DB4" w:rsidRPr="009B4D5C" w:rsidRDefault="00817DB4" w:rsidP="00817DB4">
            <w:pPr>
              <w:jc w:val="center"/>
              <w:rPr>
                <w:i/>
                <w:iCs/>
                <w:sz w:val="22"/>
                <w:szCs w:val="22"/>
              </w:rPr>
            </w:pPr>
            <w:r w:rsidRPr="009B4D5C">
              <w:rPr>
                <w:i/>
                <w:iCs/>
                <w:sz w:val="22"/>
                <w:szCs w:val="22"/>
              </w:rPr>
              <w:t>9,09%</w:t>
            </w:r>
          </w:p>
        </w:tc>
      </w:tr>
      <w:tr w:rsidR="00817DB4" w:rsidRPr="009B4D5C" w14:paraId="6E8F6353" w14:textId="77777777" w:rsidTr="002F2BF6">
        <w:trPr>
          <w:trHeight w:val="300"/>
        </w:trPr>
        <w:tc>
          <w:tcPr>
            <w:tcW w:w="1594" w:type="dxa"/>
            <w:vMerge w:val="restart"/>
            <w:tcBorders>
              <w:top w:val="single" w:sz="4" w:space="0" w:color="auto"/>
              <w:left w:val="single" w:sz="4" w:space="0" w:color="auto"/>
              <w:bottom w:val="single" w:sz="4" w:space="0" w:color="auto"/>
              <w:right w:val="single" w:sz="4" w:space="0" w:color="auto"/>
            </w:tcBorders>
            <w:noWrap/>
            <w:vAlign w:val="center"/>
            <w:hideMark/>
          </w:tcPr>
          <w:p w14:paraId="41B0C947" w14:textId="77777777" w:rsidR="00817DB4" w:rsidRPr="009B4D5C" w:rsidRDefault="00817DB4" w:rsidP="00817DB4">
            <w:pPr>
              <w:jc w:val="both"/>
              <w:rPr>
                <w:i/>
                <w:iCs/>
                <w:sz w:val="22"/>
                <w:szCs w:val="22"/>
              </w:rPr>
            </w:pPr>
            <w:r w:rsidRPr="009B4D5C">
              <w:rPr>
                <w:i/>
                <w:iCs/>
                <w:sz w:val="22"/>
                <w:szCs w:val="22"/>
              </w:rPr>
              <w:t>Complejidad</w:t>
            </w:r>
          </w:p>
        </w:tc>
        <w:tc>
          <w:tcPr>
            <w:tcW w:w="4780" w:type="dxa"/>
            <w:tcBorders>
              <w:top w:val="single" w:sz="4" w:space="0" w:color="auto"/>
              <w:left w:val="single" w:sz="4" w:space="0" w:color="auto"/>
              <w:bottom w:val="single" w:sz="4" w:space="0" w:color="auto"/>
              <w:right w:val="single" w:sz="4" w:space="0" w:color="auto"/>
            </w:tcBorders>
            <w:noWrap/>
            <w:hideMark/>
          </w:tcPr>
          <w:p w14:paraId="36268C73" w14:textId="77777777" w:rsidR="00817DB4" w:rsidRPr="009B4D5C" w:rsidRDefault="00817DB4" w:rsidP="00817DB4">
            <w:pPr>
              <w:jc w:val="center"/>
              <w:rPr>
                <w:i/>
                <w:iCs/>
                <w:sz w:val="22"/>
                <w:szCs w:val="22"/>
              </w:rPr>
            </w:pPr>
            <w:r w:rsidRPr="009B4D5C">
              <w:rPr>
                <w:i/>
                <w:iCs/>
                <w:sz w:val="22"/>
                <w:szCs w:val="22"/>
              </w:rPr>
              <w:t>Cantidad de pólizas activas.</w:t>
            </w:r>
          </w:p>
        </w:tc>
        <w:tc>
          <w:tcPr>
            <w:tcW w:w="1276" w:type="dxa"/>
            <w:vMerge w:val="restart"/>
            <w:tcBorders>
              <w:top w:val="single" w:sz="4" w:space="0" w:color="auto"/>
              <w:left w:val="single" w:sz="4" w:space="0" w:color="auto"/>
              <w:right w:val="single" w:sz="4" w:space="0" w:color="auto"/>
            </w:tcBorders>
          </w:tcPr>
          <w:p w14:paraId="7FE6E194" w14:textId="77777777" w:rsidR="00817DB4" w:rsidRPr="009B4D5C" w:rsidRDefault="00817DB4" w:rsidP="00817DB4">
            <w:pPr>
              <w:jc w:val="center"/>
              <w:rPr>
                <w:i/>
                <w:iCs/>
                <w:sz w:val="22"/>
                <w:szCs w:val="22"/>
              </w:rPr>
            </w:pPr>
            <w:r w:rsidRPr="009B4D5C">
              <w:rPr>
                <w:i/>
                <w:iCs/>
                <w:sz w:val="22"/>
                <w:szCs w:val="22"/>
              </w:rPr>
              <w:t>27,27%</w:t>
            </w:r>
          </w:p>
        </w:tc>
        <w:tc>
          <w:tcPr>
            <w:tcW w:w="1274" w:type="dxa"/>
            <w:tcBorders>
              <w:top w:val="single" w:sz="4" w:space="0" w:color="auto"/>
              <w:left w:val="single" w:sz="4" w:space="0" w:color="auto"/>
              <w:bottom w:val="single" w:sz="4" w:space="0" w:color="auto"/>
              <w:right w:val="single" w:sz="4" w:space="0" w:color="auto"/>
            </w:tcBorders>
            <w:noWrap/>
            <w:hideMark/>
          </w:tcPr>
          <w:p w14:paraId="5768E7BF" w14:textId="77777777" w:rsidR="00817DB4" w:rsidRPr="009B4D5C" w:rsidRDefault="00817DB4" w:rsidP="00817DB4">
            <w:pPr>
              <w:jc w:val="center"/>
              <w:rPr>
                <w:i/>
                <w:iCs/>
                <w:sz w:val="22"/>
                <w:szCs w:val="22"/>
              </w:rPr>
            </w:pPr>
            <w:r w:rsidRPr="009B4D5C">
              <w:rPr>
                <w:i/>
                <w:iCs/>
                <w:sz w:val="22"/>
                <w:szCs w:val="22"/>
              </w:rPr>
              <w:t>9,09%</w:t>
            </w:r>
          </w:p>
        </w:tc>
      </w:tr>
      <w:tr w:rsidR="00817DB4" w:rsidRPr="009B4D5C" w14:paraId="00EFD43B" w14:textId="77777777" w:rsidTr="002F2BF6">
        <w:trPr>
          <w:trHeight w:val="300"/>
        </w:trPr>
        <w:tc>
          <w:tcPr>
            <w:tcW w:w="1594" w:type="dxa"/>
            <w:vMerge/>
            <w:tcBorders>
              <w:top w:val="single" w:sz="4" w:space="0" w:color="auto"/>
              <w:left w:val="single" w:sz="4" w:space="0" w:color="auto"/>
              <w:bottom w:val="single" w:sz="4" w:space="0" w:color="auto"/>
              <w:right w:val="single" w:sz="4" w:space="0" w:color="auto"/>
            </w:tcBorders>
            <w:vAlign w:val="center"/>
            <w:hideMark/>
          </w:tcPr>
          <w:p w14:paraId="0DE2584C" w14:textId="77777777" w:rsidR="00817DB4" w:rsidRPr="009B4D5C" w:rsidRDefault="00817DB4" w:rsidP="00817DB4">
            <w:pPr>
              <w:jc w:val="both"/>
              <w:rPr>
                <w:i/>
                <w:iCs/>
                <w:sz w:val="22"/>
                <w:szCs w:val="22"/>
              </w:rPr>
            </w:pPr>
          </w:p>
        </w:tc>
        <w:tc>
          <w:tcPr>
            <w:tcW w:w="4780" w:type="dxa"/>
            <w:tcBorders>
              <w:top w:val="single" w:sz="4" w:space="0" w:color="auto"/>
              <w:left w:val="single" w:sz="4" w:space="0" w:color="auto"/>
              <w:bottom w:val="single" w:sz="4" w:space="0" w:color="auto"/>
              <w:right w:val="single" w:sz="4" w:space="0" w:color="auto"/>
            </w:tcBorders>
            <w:noWrap/>
            <w:hideMark/>
          </w:tcPr>
          <w:p w14:paraId="3F6219E0" w14:textId="77777777" w:rsidR="00817DB4" w:rsidRPr="009B4D5C" w:rsidRDefault="00817DB4" w:rsidP="00817DB4">
            <w:pPr>
              <w:jc w:val="center"/>
              <w:rPr>
                <w:i/>
                <w:iCs/>
                <w:sz w:val="22"/>
                <w:szCs w:val="22"/>
              </w:rPr>
            </w:pPr>
            <w:r w:rsidRPr="009B4D5C">
              <w:rPr>
                <w:i/>
                <w:iCs/>
                <w:sz w:val="22"/>
                <w:szCs w:val="22"/>
              </w:rPr>
              <w:t>Cantidad de agentes de seguros acreditados.</w:t>
            </w:r>
          </w:p>
        </w:tc>
        <w:tc>
          <w:tcPr>
            <w:tcW w:w="1276" w:type="dxa"/>
            <w:vMerge/>
            <w:tcBorders>
              <w:left w:val="single" w:sz="4" w:space="0" w:color="auto"/>
              <w:right w:val="single" w:sz="4" w:space="0" w:color="auto"/>
            </w:tcBorders>
          </w:tcPr>
          <w:p w14:paraId="31877E0B" w14:textId="77777777" w:rsidR="00817DB4" w:rsidRPr="009B4D5C" w:rsidRDefault="00817DB4" w:rsidP="00817DB4">
            <w:pPr>
              <w:jc w:val="center"/>
              <w:rPr>
                <w:i/>
                <w:iCs/>
                <w:sz w:val="22"/>
                <w:szCs w:val="22"/>
              </w:rPr>
            </w:pPr>
          </w:p>
        </w:tc>
        <w:tc>
          <w:tcPr>
            <w:tcW w:w="1274" w:type="dxa"/>
            <w:tcBorders>
              <w:top w:val="single" w:sz="4" w:space="0" w:color="auto"/>
              <w:left w:val="single" w:sz="4" w:space="0" w:color="auto"/>
              <w:bottom w:val="single" w:sz="4" w:space="0" w:color="auto"/>
              <w:right w:val="single" w:sz="4" w:space="0" w:color="auto"/>
            </w:tcBorders>
            <w:noWrap/>
            <w:hideMark/>
          </w:tcPr>
          <w:p w14:paraId="35FB3367" w14:textId="77777777" w:rsidR="00817DB4" w:rsidRPr="009B4D5C" w:rsidRDefault="00817DB4" w:rsidP="00817DB4">
            <w:pPr>
              <w:jc w:val="center"/>
              <w:rPr>
                <w:i/>
                <w:iCs/>
                <w:sz w:val="22"/>
                <w:szCs w:val="22"/>
              </w:rPr>
            </w:pPr>
            <w:r w:rsidRPr="009B4D5C">
              <w:rPr>
                <w:i/>
                <w:iCs/>
                <w:sz w:val="22"/>
                <w:szCs w:val="22"/>
              </w:rPr>
              <w:t>9,09%</w:t>
            </w:r>
          </w:p>
        </w:tc>
      </w:tr>
      <w:tr w:rsidR="00817DB4" w:rsidRPr="009B4D5C" w14:paraId="4390925D" w14:textId="77777777" w:rsidTr="002F2BF6">
        <w:trPr>
          <w:trHeight w:val="300"/>
        </w:trPr>
        <w:tc>
          <w:tcPr>
            <w:tcW w:w="1594" w:type="dxa"/>
            <w:vMerge/>
            <w:tcBorders>
              <w:top w:val="single" w:sz="4" w:space="0" w:color="auto"/>
              <w:left w:val="single" w:sz="4" w:space="0" w:color="auto"/>
              <w:bottom w:val="single" w:sz="4" w:space="0" w:color="auto"/>
              <w:right w:val="single" w:sz="4" w:space="0" w:color="auto"/>
            </w:tcBorders>
            <w:vAlign w:val="center"/>
            <w:hideMark/>
          </w:tcPr>
          <w:p w14:paraId="0BAD9ECC" w14:textId="77777777" w:rsidR="00817DB4" w:rsidRPr="009B4D5C" w:rsidRDefault="00817DB4" w:rsidP="00817DB4">
            <w:pPr>
              <w:jc w:val="both"/>
              <w:rPr>
                <w:i/>
                <w:iCs/>
                <w:sz w:val="22"/>
                <w:szCs w:val="22"/>
              </w:rPr>
            </w:pPr>
          </w:p>
        </w:tc>
        <w:tc>
          <w:tcPr>
            <w:tcW w:w="4780" w:type="dxa"/>
            <w:tcBorders>
              <w:top w:val="single" w:sz="4" w:space="0" w:color="auto"/>
              <w:left w:val="single" w:sz="4" w:space="0" w:color="auto"/>
              <w:bottom w:val="single" w:sz="4" w:space="0" w:color="auto"/>
              <w:right w:val="single" w:sz="4" w:space="0" w:color="auto"/>
            </w:tcBorders>
            <w:noWrap/>
            <w:hideMark/>
          </w:tcPr>
          <w:p w14:paraId="1EB1B6E7" w14:textId="77777777" w:rsidR="00817DB4" w:rsidRPr="009B4D5C" w:rsidRDefault="00817DB4" w:rsidP="00817DB4">
            <w:pPr>
              <w:jc w:val="center"/>
              <w:rPr>
                <w:i/>
                <w:iCs/>
                <w:sz w:val="22"/>
                <w:szCs w:val="22"/>
              </w:rPr>
            </w:pPr>
            <w:r w:rsidRPr="009B4D5C">
              <w:rPr>
                <w:i/>
                <w:iCs/>
                <w:sz w:val="22"/>
                <w:szCs w:val="22"/>
              </w:rPr>
              <w:t>Cantidad de titulares de pólizas.</w:t>
            </w:r>
          </w:p>
        </w:tc>
        <w:tc>
          <w:tcPr>
            <w:tcW w:w="1276" w:type="dxa"/>
            <w:vMerge/>
            <w:tcBorders>
              <w:left w:val="single" w:sz="4" w:space="0" w:color="auto"/>
              <w:bottom w:val="single" w:sz="4" w:space="0" w:color="auto"/>
              <w:right w:val="single" w:sz="4" w:space="0" w:color="auto"/>
            </w:tcBorders>
          </w:tcPr>
          <w:p w14:paraId="22C28324" w14:textId="77777777" w:rsidR="00817DB4" w:rsidRPr="009B4D5C" w:rsidRDefault="00817DB4" w:rsidP="00817DB4">
            <w:pPr>
              <w:jc w:val="center"/>
              <w:rPr>
                <w:i/>
                <w:iCs/>
                <w:sz w:val="22"/>
                <w:szCs w:val="22"/>
              </w:rPr>
            </w:pPr>
          </w:p>
        </w:tc>
        <w:tc>
          <w:tcPr>
            <w:tcW w:w="1274" w:type="dxa"/>
            <w:tcBorders>
              <w:top w:val="single" w:sz="4" w:space="0" w:color="auto"/>
              <w:left w:val="single" w:sz="4" w:space="0" w:color="auto"/>
              <w:bottom w:val="single" w:sz="4" w:space="0" w:color="auto"/>
              <w:right w:val="single" w:sz="4" w:space="0" w:color="auto"/>
            </w:tcBorders>
            <w:noWrap/>
            <w:hideMark/>
          </w:tcPr>
          <w:p w14:paraId="1B2DB54A" w14:textId="77777777" w:rsidR="00817DB4" w:rsidRPr="009B4D5C" w:rsidRDefault="00817DB4" w:rsidP="00817DB4">
            <w:pPr>
              <w:jc w:val="center"/>
              <w:rPr>
                <w:i/>
                <w:iCs/>
                <w:sz w:val="22"/>
                <w:szCs w:val="22"/>
              </w:rPr>
            </w:pPr>
            <w:r w:rsidRPr="009B4D5C">
              <w:rPr>
                <w:i/>
                <w:iCs/>
                <w:sz w:val="22"/>
                <w:szCs w:val="22"/>
              </w:rPr>
              <w:t>9,09%</w:t>
            </w:r>
          </w:p>
        </w:tc>
      </w:tr>
      <w:tr w:rsidR="00817DB4" w:rsidRPr="009B4D5C" w14:paraId="54BFD0D4" w14:textId="77777777" w:rsidTr="002F2BF6">
        <w:trPr>
          <w:trHeight w:val="300"/>
        </w:trPr>
        <w:tc>
          <w:tcPr>
            <w:tcW w:w="1594" w:type="dxa"/>
            <w:vMerge w:val="restart"/>
            <w:tcBorders>
              <w:top w:val="single" w:sz="4" w:space="0" w:color="auto"/>
              <w:left w:val="single" w:sz="4" w:space="0" w:color="auto"/>
              <w:bottom w:val="single" w:sz="4" w:space="0" w:color="auto"/>
              <w:right w:val="single" w:sz="4" w:space="0" w:color="auto"/>
            </w:tcBorders>
            <w:noWrap/>
            <w:vAlign w:val="center"/>
            <w:hideMark/>
          </w:tcPr>
          <w:p w14:paraId="1C4BDE01" w14:textId="77777777" w:rsidR="00817DB4" w:rsidRPr="009B4D5C" w:rsidRDefault="00817DB4" w:rsidP="00817DB4">
            <w:pPr>
              <w:jc w:val="both"/>
              <w:rPr>
                <w:i/>
                <w:iCs/>
                <w:sz w:val="22"/>
                <w:szCs w:val="22"/>
              </w:rPr>
            </w:pPr>
            <w:r w:rsidRPr="009B4D5C">
              <w:rPr>
                <w:i/>
                <w:iCs/>
                <w:sz w:val="22"/>
                <w:szCs w:val="22"/>
              </w:rPr>
              <w:t>Grado de sustitución (27,27%)</w:t>
            </w:r>
          </w:p>
        </w:tc>
        <w:tc>
          <w:tcPr>
            <w:tcW w:w="4780" w:type="dxa"/>
            <w:tcBorders>
              <w:top w:val="single" w:sz="4" w:space="0" w:color="auto"/>
              <w:left w:val="single" w:sz="4" w:space="0" w:color="auto"/>
              <w:bottom w:val="single" w:sz="4" w:space="0" w:color="auto"/>
              <w:right w:val="single" w:sz="4" w:space="0" w:color="auto"/>
            </w:tcBorders>
            <w:noWrap/>
            <w:hideMark/>
          </w:tcPr>
          <w:p w14:paraId="259090DA" w14:textId="77777777" w:rsidR="00817DB4" w:rsidRPr="009B4D5C" w:rsidRDefault="00817DB4" w:rsidP="00817DB4">
            <w:pPr>
              <w:jc w:val="center"/>
              <w:rPr>
                <w:i/>
                <w:iCs/>
                <w:sz w:val="22"/>
                <w:szCs w:val="22"/>
              </w:rPr>
            </w:pPr>
            <w:r w:rsidRPr="009B4D5C">
              <w:rPr>
                <w:i/>
                <w:iCs/>
                <w:sz w:val="22"/>
                <w:szCs w:val="22"/>
              </w:rPr>
              <w:t>Ingresos por primas de pólizas de riesgos catastróficos.</w:t>
            </w:r>
          </w:p>
        </w:tc>
        <w:tc>
          <w:tcPr>
            <w:tcW w:w="1276" w:type="dxa"/>
            <w:vMerge w:val="restart"/>
            <w:tcBorders>
              <w:top w:val="single" w:sz="4" w:space="0" w:color="auto"/>
              <w:left w:val="single" w:sz="4" w:space="0" w:color="auto"/>
              <w:right w:val="single" w:sz="4" w:space="0" w:color="auto"/>
            </w:tcBorders>
          </w:tcPr>
          <w:p w14:paraId="3611AF6C" w14:textId="77777777" w:rsidR="00817DB4" w:rsidRPr="009B4D5C" w:rsidRDefault="00817DB4" w:rsidP="00817DB4">
            <w:pPr>
              <w:jc w:val="center"/>
              <w:rPr>
                <w:i/>
                <w:iCs/>
                <w:sz w:val="22"/>
                <w:szCs w:val="22"/>
              </w:rPr>
            </w:pPr>
            <w:r w:rsidRPr="009B4D5C">
              <w:rPr>
                <w:i/>
                <w:iCs/>
                <w:sz w:val="22"/>
                <w:szCs w:val="22"/>
              </w:rPr>
              <w:t>27,27%</w:t>
            </w:r>
          </w:p>
        </w:tc>
        <w:tc>
          <w:tcPr>
            <w:tcW w:w="1274" w:type="dxa"/>
            <w:tcBorders>
              <w:top w:val="single" w:sz="4" w:space="0" w:color="auto"/>
              <w:left w:val="single" w:sz="4" w:space="0" w:color="auto"/>
              <w:bottom w:val="single" w:sz="4" w:space="0" w:color="auto"/>
              <w:right w:val="single" w:sz="4" w:space="0" w:color="auto"/>
            </w:tcBorders>
            <w:noWrap/>
            <w:hideMark/>
          </w:tcPr>
          <w:p w14:paraId="5F838CDD" w14:textId="77777777" w:rsidR="00817DB4" w:rsidRPr="009B4D5C" w:rsidRDefault="00817DB4" w:rsidP="00817DB4">
            <w:pPr>
              <w:jc w:val="center"/>
              <w:rPr>
                <w:i/>
                <w:iCs/>
                <w:sz w:val="22"/>
                <w:szCs w:val="22"/>
              </w:rPr>
            </w:pPr>
            <w:r w:rsidRPr="009B4D5C">
              <w:rPr>
                <w:i/>
                <w:iCs/>
                <w:sz w:val="22"/>
                <w:szCs w:val="22"/>
              </w:rPr>
              <w:t>9,09%</w:t>
            </w:r>
          </w:p>
        </w:tc>
      </w:tr>
      <w:tr w:rsidR="00817DB4" w:rsidRPr="009B4D5C" w14:paraId="0EE756C0" w14:textId="77777777" w:rsidTr="002F2BF6">
        <w:trPr>
          <w:trHeight w:val="300"/>
        </w:trPr>
        <w:tc>
          <w:tcPr>
            <w:tcW w:w="1594" w:type="dxa"/>
            <w:vMerge/>
            <w:tcBorders>
              <w:top w:val="single" w:sz="4" w:space="0" w:color="auto"/>
              <w:left w:val="single" w:sz="4" w:space="0" w:color="auto"/>
              <w:bottom w:val="single" w:sz="4" w:space="0" w:color="auto"/>
              <w:right w:val="single" w:sz="4" w:space="0" w:color="auto"/>
            </w:tcBorders>
            <w:vAlign w:val="center"/>
            <w:hideMark/>
          </w:tcPr>
          <w:p w14:paraId="5DBB26FC" w14:textId="77777777" w:rsidR="00817DB4" w:rsidRPr="009B4D5C" w:rsidRDefault="00817DB4" w:rsidP="00817DB4">
            <w:pPr>
              <w:jc w:val="both"/>
              <w:rPr>
                <w:i/>
                <w:iCs/>
                <w:sz w:val="22"/>
                <w:szCs w:val="22"/>
              </w:rPr>
            </w:pPr>
          </w:p>
        </w:tc>
        <w:tc>
          <w:tcPr>
            <w:tcW w:w="4780" w:type="dxa"/>
            <w:tcBorders>
              <w:top w:val="single" w:sz="4" w:space="0" w:color="auto"/>
              <w:left w:val="single" w:sz="4" w:space="0" w:color="auto"/>
              <w:bottom w:val="single" w:sz="4" w:space="0" w:color="auto"/>
              <w:right w:val="single" w:sz="4" w:space="0" w:color="auto"/>
            </w:tcBorders>
            <w:noWrap/>
            <w:hideMark/>
          </w:tcPr>
          <w:p w14:paraId="6FD386CF" w14:textId="77777777" w:rsidR="00817DB4" w:rsidRPr="009B4D5C" w:rsidRDefault="00817DB4" w:rsidP="00817DB4">
            <w:pPr>
              <w:jc w:val="center"/>
              <w:rPr>
                <w:i/>
                <w:iCs/>
                <w:sz w:val="22"/>
                <w:szCs w:val="22"/>
              </w:rPr>
            </w:pPr>
            <w:r w:rsidRPr="009B4D5C">
              <w:rPr>
                <w:i/>
                <w:iCs/>
                <w:sz w:val="22"/>
                <w:szCs w:val="22"/>
              </w:rPr>
              <w:t>Ingresos por primas de pólizas de riesgos del trabajo.</w:t>
            </w:r>
          </w:p>
        </w:tc>
        <w:tc>
          <w:tcPr>
            <w:tcW w:w="1276" w:type="dxa"/>
            <w:vMerge/>
            <w:tcBorders>
              <w:left w:val="single" w:sz="4" w:space="0" w:color="auto"/>
              <w:right w:val="single" w:sz="4" w:space="0" w:color="auto"/>
            </w:tcBorders>
          </w:tcPr>
          <w:p w14:paraId="20E7974E" w14:textId="77777777" w:rsidR="00817DB4" w:rsidRPr="009B4D5C" w:rsidRDefault="00817DB4" w:rsidP="00817DB4">
            <w:pPr>
              <w:jc w:val="center"/>
              <w:rPr>
                <w:i/>
                <w:iCs/>
                <w:sz w:val="22"/>
                <w:szCs w:val="22"/>
              </w:rPr>
            </w:pPr>
          </w:p>
        </w:tc>
        <w:tc>
          <w:tcPr>
            <w:tcW w:w="1274" w:type="dxa"/>
            <w:tcBorders>
              <w:top w:val="single" w:sz="4" w:space="0" w:color="auto"/>
              <w:left w:val="single" w:sz="4" w:space="0" w:color="auto"/>
              <w:bottom w:val="single" w:sz="4" w:space="0" w:color="auto"/>
              <w:right w:val="single" w:sz="4" w:space="0" w:color="auto"/>
            </w:tcBorders>
            <w:noWrap/>
            <w:hideMark/>
          </w:tcPr>
          <w:p w14:paraId="6FA45896" w14:textId="77777777" w:rsidR="00817DB4" w:rsidRPr="009B4D5C" w:rsidRDefault="00817DB4" w:rsidP="00817DB4">
            <w:pPr>
              <w:jc w:val="center"/>
              <w:rPr>
                <w:i/>
                <w:iCs/>
                <w:sz w:val="22"/>
                <w:szCs w:val="22"/>
              </w:rPr>
            </w:pPr>
            <w:r w:rsidRPr="009B4D5C">
              <w:rPr>
                <w:i/>
                <w:iCs/>
                <w:sz w:val="22"/>
                <w:szCs w:val="22"/>
              </w:rPr>
              <w:t>9,09%</w:t>
            </w:r>
          </w:p>
        </w:tc>
      </w:tr>
      <w:tr w:rsidR="00817DB4" w:rsidRPr="009B4D5C" w14:paraId="591A0E6E" w14:textId="77777777" w:rsidTr="002F2BF6">
        <w:trPr>
          <w:trHeight w:val="300"/>
        </w:trPr>
        <w:tc>
          <w:tcPr>
            <w:tcW w:w="1594" w:type="dxa"/>
            <w:vMerge/>
            <w:tcBorders>
              <w:top w:val="single" w:sz="4" w:space="0" w:color="auto"/>
              <w:left w:val="single" w:sz="4" w:space="0" w:color="auto"/>
              <w:bottom w:val="single" w:sz="4" w:space="0" w:color="auto"/>
              <w:right w:val="single" w:sz="4" w:space="0" w:color="auto"/>
            </w:tcBorders>
            <w:vAlign w:val="center"/>
            <w:hideMark/>
          </w:tcPr>
          <w:p w14:paraId="5BF7B8B9" w14:textId="77777777" w:rsidR="00817DB4" w:rsidRPr="009B4D5C" w:rsidRDefault="00817DB4" w:rsidP="00817DB4">
            <w:pPr>
              <w:jc w:val="both"/>
              <w:rPr>
                <w:i/>
                <w:iCs/>
                <w:sz w:val="22"/>
                <w:szCs w:val="22"/>
              </w:rPr>
            </w:pPr>
          </w:p>
        </w:tc>
        <w:tc>
          <w:tcPr>
            <w:tcW w:w="4780" w:type="dxa"/>
            <w:tcBorders>
              <w:top w:val="single" w:sz="4" w:space="0" w:color="auto"/>
              <w:left w:val="single" w:sz="4" w:space="0" w:color="auto"/>
              <w:bottom w:val="single" w:sz="4" w:space="0" w:color="auto"/>
              <w:right w:val="single" w:sz="4" w:space="0" w:color="auto"/>
            </w:tcBorders>
            <w:noWrap/>
            <w:hideMark/>
          </w:tcPr>
          <w:p w14:paraId="49767B28" w14:textId="77777777" w:rsidR="00817DB4" w:rsidRPr="009B4D5C" w:rsidRDefault="00817DB4" w:rsidP="00817DB4">
            <w:pPr>
              <w:jc w:val="center"/>
              <w:rPr>
                <w:i/>
                <w:iCs/>
                <w:sz w:val="22"/>
                <w:szCs w:val="22"/>
              </w:rPr>
            </w:pPr>
            <w:r w:rsidRPr="009B4D5C">
              <w:rPr>
                <w:i/>
                <w:iCs/>
                <w:sz w:val="22"/>
                <w:szCs w:val="22"/>
              </w:rPr>
              <w:t>Ingresos por primas de pólizas de Seguro Obligatorio de Automóviles</w:t>
            </w:r>
          </w:p>
        </w:tc>
        <w:tc>
          <w:tcPr>
            <w:tcW w:w="1276" w:type="dxa"/>
            <w:vMerge/>
            <w:tcBorders>
              <w:left w:val="single" w:sz="4" w:space="0" w:color="auto"/>
              <w:bottom w:val="single" w:sz="4" w:space="0" w:color="auto"/>
              <w:right w:val="single" w:sz="4" w:space="0" w:color="auto"/>
            </w:tcBorders>
          </w:tcPr>
          <w:p w14:paraId="615F8139" w14:textId="77777777" w:rsidR="00817DB4" w:rsidRPr="009B4D5C" w:rsidRDefault="00817DB4" w:rsidP="00817DB4">
            <w:pPr>
              <w:jc w:val="center"/>
              <w:rPr>
                <w:i/>
                <w:iCs/>
                <w:sz w:val="22"/>
                <w:szCs w:val="22"/>
              </w:rPr>
            </w:pPr>
          </w:p>
        </w:tc>
        <w:tc>
          <w:tcPr>
            <w:tcW w:w="1274" w:type="dxa"/>
            <w:tcBorders>
              <w:top w:val="single" w:sz="4" w:space="0" w:color="auto"/>
              <w:left w:val="single" w:sz="4" w:space="0" w:color="auto"/>
              <w:bottom w:val="single" w:sz="4" w:space="0" w:color="auto"/>
              <w:right w:val="single" w:sz="4" w:space="0" w:color="auto"/>
            </w:tcBorders>
            <w:noWrap/>
            <w:hideMark/>
          </w:tcPr>
          <w:p w14:paraId="27ED63CA" w14:textId="77777777" w:rsidR="00817DB4" w:rsidRPr="009B4D5C" w:rsidRDefault="00817DB4" w:rsidP="00817DB4">
            <w:pPr>
              <w:jc w:val="center"/>
              <w:rPr>
                <w:i/>
                <w:iCs/>
                <w:sz w:val="22"/>
                <w:szCs w:val="22"/>
              </w:rPr>
            </w:pPr>
            <w:r w:rsidRPr="009B4D5C">
              <w:rPr>
                <w:i/>
                <w:iCs/>
                <w:sz w:val="22"/>
                <w:szCs w:val="22"/>
              </w:rPr>
              <w:t>9,09%</w:t>
            </w:r>
          </w:p>
        </w:tc>
      </w:tr>
      <w:bookmarkEnd w:id="3"/>
    </w:tbl>
    <w:p w14:paraId="57A867D4" w14:textId="77777777" w:rsidR="00817DB4" w:rsidRPr="009B4D5C" w:rsidRDefault="00817DB4" w:rsidP="00817DB4">
      <w:pPr>
        <w:jc w:val="both"/>
        <w:rPr>
          <w:sz w:val="22"/>
          <w:szCs w:val="22"/>
        </w:rPr>
      </w:pPr>
    </w:p>
    <w:p w14:paraId="72A40FFF" w14:textId="77777777" w:rsidR="00817DB4" w:rsidRPr="009B4D5C" w:rsidRDefault="00817DB4" w:rsidP="00817DB4">
      <w:pPr>
        <w:jc w:val="both"/>
        <w:rPr>
          <w:b/>
          <w:bCs/>
          <w:i/>
          <w:iCs/>
          <w:sz w:val="22"/>
          <w:szCs w:val="22"/>
        </w:rPr>
      </w:pPr>
      <w:r w:rsidRPr="009B4D5C">
        <w:rPr>
          <w:b/>
          <w:bCs/>
          <w:i/>
          <w:iCs/>
          <w:sz w:val="22"/>
          <w:szCs w:val="22"/>
        </w:rPr>
        <w:t>Artículo 14. Determinación de la condición de entidad de importancia sistémica.</w:t>
      </w:r>
    </w:p>
    <w:p w14:paraId="1B069DA1" w14:textId="77777777" w:rsidR="00817DB4" w:rsidRPr="009B4D5C" w:rsidRDefault="00817DB4" w:rsidP="00817DB4">
      <w:pPr>
        <w:jc w:val="both"/>
        <w:rPr>
          <w:sz w:val="22"/>
          <w:szCs w:val="22"/>
        </w:rPr>
      </w:pPr>
    </w:p>
    <w:p w14:paraId="67D9E3DB" w14:textId="77777777" w:rsidR="00817DB4" w:rsidRPr="009B4D5C" w:rsidRDefault="00817DB4" w:rsidP="00817DB4">
      <w:pPr>
        <w:jc w:val="both"/>
        <w:rPr>
          <w:i/>
          <w:iCs/>
          <w:sz w:val="22"/>
          <w:szCs w:val="22"/>
        </w:rPr>
      </w:pPr>
      <w:r w:rsidRPr="009B4D5C">
        <w:rPr>
          <w:i/>
          <w:iCs/>
          <w:sz w:val="22"/>
          <w:szCs w:val="22"/>
        </w:rPr>
        <w:t>La condición de entidad de importancia sistémica será determinada mediante la aplicación de la metodología de puntaje dispuesta en este reglamento. La entidad catalogada de importancia sistémica es aquella cuyo puntaje sea mayor a 2000.</w:t>
      </w:r>
    </w:p>
    <w:p w14:paraId="2D073581" w14:textId="77777777" w:rsidR="00817DB4" w:rsidRPr="009B4D5C" w:rsidRDefault="00817DB4" w:rsidP="00817DB4">
      <w:pPr>
        <w:jc w:val="both"/>
        <w:rPr>
          <w:i/>
          <w:iCs/>
          <w:sz w:val="22"/>
          <w:szCs w:val="22"/>
        </w:rPr>
      </w:pPr>
    </w:p>
    <w:p w14:paraId="089C73C1" w14:textId="77777777" w:rsidR="00817DB4" w:rsidRPr="009B4D5C" w:rsidRDefault="00817DB4" w:rsidP="00817DB4">
      <w:pPr>
        <w:jc w:val="both"/>
        <w:rPr>
          <w:i/>
          <w:iCs/>
          <w:sz w:val="22"/>
          <w:szCs w:val="22"/>
        </w:rPr>
      </w:pPr>
      <w:r w:rsidRPr="009B4D5C">
        <w:rPr>
          <w:i/>
          <w:iCs/>
          <w:sz w:val="22"/>
          <w:szCs w:val="22"/>
        </w:rPr>
        <w:t>La categoría de importancia sistémica estará determinada por el puntaje obtenido por la entidad en el índice de importancia sistémica y su ubicación en los rangos que se indican a continuación:</w:t>
      </w:r>
    </w:p>
    <w:p w14:paraId="75115713" w14:textId="77777777" w:rsidR="00817DB4" w:rsidRPr="009B4D5C" w:rsidRDefault="00817DB4" w:rsidP="00817DB4">
      <w:pPr>
        <w:jc w:val="both"/>
        <w:rPr>
          <w:sz w:val="22"/>
          <w:szCs w:val="22"/>
        </w:rPr>
      </w:pPr>
    </w:p>
    <w:tbl>
      <w:tblPr>
        <w:tblW w:w="5841" w:type="dxa"/>
        <w:jc w:val="center"/>
        <w:tblLayout w:type="fixed"/>
        <w:tblCellMar>
          <w:left w:w="0" w:type="dxa"/>
          <w:right w:w="0" w:type="dxa"/>
        </w:tblCellMar>
        <w:tblLook w:val="04A0" w:firstRow="1" w:lastRow="0" w:firstColumn="1" w:lastColumn="0" w:noHBand="0" w:noVBand="1"/>
      </w:tblPr>
      <w:tblGrid>
        <w:gridCol w:w="1838"/>
        <w:gridCol w:w="4003"/>
      </w:tblGrid>
      <w:tr w:rsidR="00817DB4" w:rsidRPr="009B4D5C" w14:paraId="2F6D3A73" w14:textId="77777777" w:rsidTr="002F2BF6">
        <w:trPr>
          <w:jc w:val="center"/>
        </w:trPr>
        <w:tc>
          <w:tcPr>
            <w:tcW w:w="1838" w:type="dxa"/>
            <w:tcBorders>
              <w:top w:val="single" w:sz="4" w:space="0" w:color="auto"/>
              <w:left w:val="single" w:sz="4" w:space="0" w:color="auto"/>
              <w:bottom w:val="single" w:sz="4" w:space="0" w:color="auto"/>
              <w:right w:val="single" w:sz="4" w:space="0" w:color="auto"/>
            </w:tcBorders>
            <w:shd w:val="clear" w:color="auto" w:fill="1F3864" w:themeFill="accent1" w:themeFillShade="80"/>
            <w:tcMar>
              <w:top w:w="0" w:type="dxa"/>
              <w:left w:w="108" w:type="dxa"/>
              <w:bottom w:w="0" w:type="dxa"/>
              <w:right w:w="108" w:type="dxa"/>
            </w:tcMar>
            <w:vAlign w:val="center"/>
            <w:hideMark/>
          </w:tcPr>
          <w:p w14:paraId="35467B4C" w14:textId="77777777" w:rsidR="00817DB4" w:rsidRPr="009B4D5C" w:rsidRDefault="00817DB4" w:rsidP="00817DB4">
            <w:pPr>
              <w:jc w:val="center"/>
              <w:rPr>
                <w:b/>
                <w:bCs/>
                <w:i/>
                <w:iCs/>
                <w:color w:val="FFFFFF" w:themeColor="background1"/>
                <w:sz w:val="22"/>
                <w:szCs w:val="22"/>
              </w:rPr>
            </w:pPr>
            <w:bookmarkStart w:id="4" w:name="_Hlk127869919"/>
            <w:r w:rsidRPr="009B4D5C">
              <w:rPr>
                <w:b/>
                <w:bCs/>
                <w:i/>
                <w:iCs/>
                <w:color w:val="FFFFFF" w:themeColor="background1"/>
                <w:sz w:val="22"/>
                <w:szCs w:val="22"/>
              </w:rPr>
              <w:t>Categoría de Importancia Sistémica</w:t>
            </w:r>
          </w:p>
        </w:tc>
        <w:tc>
          <w:tcPr>
            <w:tcW w:w="4003"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6BF4F523" w14:textId="77777777" w:rsidR="00817DB4" w:rsidRPr="009B4D5C" w:rsidRDefault="00817DB4" w:rsidP="00817DB4">
            <w:pPr>
              <w:jc w:val="both"/>
              <w:rPr>
                <w:b/>
                <w:bCs/>
                <w:i/>
                <w:iCs/>
                <w:color w:val="FFFFFF" w:themeColor="background1"/>
                <w:sz w:val="22"/>
                <w:szCs w:val="22"/>
              </w:rPr>
            </w:pPr>
            <w:r w:rsidRPr="009B4D5C">
              <w:rPr>
                <w:b/>
                <w:bCs/>
                <w:i/>
                <w:iCs/>
                <w:color w:val="FFFFFF" w:themeColor="background1"/>
                <w:sz w:val="22"/>
                <w:szCs w:val="22"/>
              </w:rPr>
              <w:t>Rangos de puntaje del índice sistémico</w:t>
            </w:r>
          </w:p>
        </w:tc>
      </w:tr>
      <w:tr w:rsidR="00817DB4" w:rsidRPr="009B4D5C" w14:paraId="3BBA082C" w14:textId="77777777" w:rsidTr="002F2BF6">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6815A3" w14:textId="77777777" w:rsidR="00817DB4" w:rsidRPr="009B4D5C" w:rsidRDefault="00817DB4" w:rsidP="00817DB4">
            <w:pPr>
              <w:jc w:val="center"/>
              <w:rPr>
                <w:i/>
                <w:iCs/>
                <w:sz w:val="22"/>
                <w:szCs w:val="22"/>
              </w:rPr>
            </w:pPr>
            <w:bookmarkStart w:id="5" w:name="_Hlk69475504"/>
            <w:r w:rsidRPr="009B4D5C">
              <w:rPr>
                <w:i/>
                <w:iCs/>
                <w:sz w:val="22"/>
                <w:szCs w:val="22"/>
              </w:rPr>
              <w:t>1</w:t>
            </w:r>
          </w:p>
        </w:tc>
        <w:tc>
          <w:tcPr>
            <w:tcW w:w="4003" w:type="dxa"/>
            <w:tcBorders>
              <w:top w:val="single" w:sz="4" w:space="0" w:color="auto"/>
              <w:left w:val="single" w:sz="4" w:space="0" w:color="auto"/>
              <w:bottom w:val="single" w:sz="4" w:space="0" w:color="auto"/>
              <w:right w:val="single" w:sz="4" w:space="0" w:color="auto"/>
            </w:tcBorders>
          </w:tcPr>
          <w:p w14:paraId="1012C91D" w14:textId="77777777" w:rsidR="00817DB4" w:rsidRPr="009B4D5C" w:rsidRDefault="00817DB4" w:rsidP="00817DB4">
            <w:pPr>
              <w:jc w:val="both"/>
              <w:rPr>
                <w:i/>
                <w:iCs/>
                <w:sz w:val="22"/>
                <w:szCs w:val="22"/>
              </w:rPr>
            </w:pPr>
            <w:r w:rsidRPr="009B4D5C">
              <w:rPr>
                <w:i/>
                <w:iCs/>
                <w:sz w:val="22"/>
                <w:szCs w:val="22"/>
              </w:rPr>
              <w:t>Mayor a 6000</w:t>
            </w:r>
          </w:p>
        </w:tc>
      </w:tr>
      <w:tr w:rsidR="00817DB4" w:rsidRPr="009B4D5C" w14:paraId="0265F0D0" w14:textId="77777777" w:rsidTr="002F2BF6">
        <w:trPr>
          <w:jc w:val="center"/>
        </w:trPr>
        <w:tc>
          <w:tcPr>
            <w:tcW w:w="1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D84105" w14:textId="77777777" w:rsidR="00817DB4" w:rsidRPr="009B4D5C" w:rsidRDefault="00817DB4" w:rsidP="00817DB4">
            <w:pPr>
              <w:jc w:val="center"/>
              <w:rPr>
                <w:i/>
                <w:iCs/>
                <w:sz w:val="22"/>
                <w:szCs w:val="22"/>
              </w:rPr>
            </w:pPr>
            <w:r w:rsidRPr="009B4D5C">
              <w:rPr>
                <w:i/>
                <w:iCs/>
                <w:sz w:val="22"/>
                <w:szCs w:val="22"/>
              </w:rPr>
              <w:t>2</w:t>
            </w:r>
          </w:p>
        </w:tc>
        <w:tc>
          <w:tcPr>
            <w:tcW w:w="4003" w:type="dxa"/>
            <w:tcBorders>
              <w:top w:val="single" w:sz="4" w:space="0" w:color="auto"/>
              <w:left w:val="single" w:sz="4" w:space="0" w:color="auto"/>
              <w:bottom w:val="single" w:sz="4" w:space="0" w:color="auto"/>
              <w:right w:val="single" w:sz="4" w:space="0" w:color="auto"/>
            </w:tcBorders>
          </w:tcPr>
          <w:p w14:paraId="05435023" w14:textId="77777777" w:rsidR="00817DB4" w:rsidRPr="009B4D5C" w:rsidRDefault="00817DB4" w:rsidP="00817DB4">
            <w:pPr>
              <w:jc w:val="both"/>
              <w:rPr>
                <w:i/>
                <w:iCs/>
                <w:sz w:val="22"/>
                <w:szCs w:val="22"/>
              </w:rPr>
            </w:pPr>
            <w:r w:rsidRPr="009B4D5C">
              <w:rPr>
                <w:i/>
                <w:iCs/>
                <w:sz w:val="22"/>
                <w:szCs w:val="22"/>
              </w:rPr>
              <w:t>Mayor a 2000 y menor o igual a 6000</w:t>
            </w:r>
          </w:p>
        </w:tc>
      </w:tr>
    </w:tbl>
    <w:p w14:paraId="1BD4017B" w14:textId="77777777" w:rsidR="00817DB4" w:rsidRPr="009B4D5C" w:rsidRDefault="00817DB4" w:rsidP="00817DB4">
      <w:pPr>
        <w:jc w:val="both"/>
        <w:rPr>
          <w:sz w:val="22"/>
          <w:szCs w:val="22"/>
        </w:rPr>
      </w:pPr>
      <w:bookmarkStart w:id="6" w:name="_Hlk105582234"/>
      <w:bookmarkEnd w:id="4"/>
      <w:bookmarkEnd w:id="5"/>
    </w:p>
    <w:bookmarkEnd w:id="6"/>
    <w:p w14:paraId="2F497BB7" w14:textId="77777777" w:rsidR="00817DB4" w:rsidRPr="009B4D5C" w:rsidRDefault="00817DB4" w:rsidP="00817DB4">
      <w:pPr>
        <w:jc w:val="both"/>
        <w:rPr>
          <w:b/>
          <w:bCs/>
          <w:sz w:val="22"/>
          <w:szCs w:val="22"/>
        </w:rPr>
      </w:pPr>
      <w:r w:rsidRPr="009B4D5C">
        <w:rPr>
          <w:b/>
          <w:bCs/>
          <w:sz w:val="22"/>
          <w:szCs w:val="22"/>
        </w:rPr>
        <w:t>IV.</w:t>
      </w:r>
      <w:r w:rsidRPr="009B4D5C">
        <w:rPr>
          <w:b/>
          <w:bCs/>
          <w:sz w:val="22"/>
          <w:szCs w:val="22"/>
        </w:rPr>
        <w:tab/>
        <w:t>Adicionar un capítulo quinto con el siguiente contenido:</w:t>
      </w:r>
    </w:p>
    <w:p w14:paraId="311BF685" w14:textId="77777777" w:rsidR="00817DB4" w:rsidRPr="009B4D5C" w:rsidRDefault="00817DB4" w:rsidP="00817DB4">
      <w:pPr>
        <w:jc w:val="both"/>
        <w:rPr>
          <w:sz w:val="22"/>
          <w:szCs w:val="22"/>
        </w:rPr>
      </w:pPr>
    </w:p>
    <w:p w14:paraId="18CD1A65" w14:textId="77777777" w:rsidR="00817DB4" w:rsidRPr="009B4D5C" w:rsidRDefault="00817DB4" w:rsidP="00817DB4">
      <w:pPr>
        <w:jc w:val="center"/>
        <w:rPr>
          <w:b/>
          <w:bCs/>
          <w:i/>
          <w:iCs/>
          <w:sz w:val="22"/>
          <w:szCs w:val="22"/>
        </w:rPr>
      </w:pPr>
      <w:r w:rsidRPr="009B4D5C">
        <w:rPr>
          <w:b/>
          <w:bCs/>
          <w:i/>
          <w:iCs/>
          <w:sz w:val="22"/>
          <w:szCs w:val="22"/>
        </w:rPr>
        <w:t>“CAPÍTULO V</w:t>
      </w:r>
    </w:p>
    <w:p w14:paraId="0F7A5283" w14:textId="77777777" w:rsidR="00817DB4" w:rsidRPr="009B4D5C" w:rsidRDefault="00817DB4" w:rsidP="00817DB4">
      <w:pPr>
        <w:jc w:val="center"/>
        <w:rPr>
          <w:b/>
          <w:bCs/>
          <w:i/>
          <w:iCs/>
          <w:sz w:val="22"/>
          <w:szCs w:val="22"/>
        </w:rPr>
      </w:pPr>
      <w:r w:rsidRPr="009B4D5C">
        <w:rPr>
          <w:b/>
          <w:bCs/>
          <w:i/>
          <w:iCs/>
          <w:sz w:val="22"/>
          <w:szCs w:val="22"/>
        </w:rPr>
        <w:t>DISPOSICIONES SOBRE LA METODOLOGÍA DE IDENTIFICACIÓN DE ENTIDADES DE IMPORTANCIA SISTÉMICA SUPERVISADAS POR LA SUPEN</w:t>
      </w:r>
    </w:p>
    <w:p w14:paraId="62BC1972" w14:textId="77777777" w:rsidR="00817DB4" w:rsidRPr="009B4D5C" w:rsidRDefault="00817DB4" w:rsidP="00817DB4">
      <w:pPr>
        <w:jc w:val="both"/>
        <w:rPr>
          <w:b/>
          <w:bCs/>
          <w:sz w:val="22"/>
          <w:szCs w:val="22"/>
        </w:rPr>
      </w:pPr>
    </w:p>
    <w:p w14:paraId="65290A8C" w14:textId="77777777" w:rsidR="00817DB4" w:rsidRPr="009B4D5C" w:rsidRDefault="00817DB4" w:rsidP="00817DB4">
      <w:pPr>
        <w:jc w:val="both"/>
        <w:rPr>
          <w:b/>
          <w:bCs/>
          <w:i/>
          <w:iCs/>
          <w:sz w:val="22"/>
          <w:szCs w:val="22"/>
        </w:rPr>
      </w:pPr>
      <w:r w:rsidRPr="009B4D5C">
        <w:rPr>
          <w:b/>
          <w:bCs/>
          <w:i/>
          <w:iCs/>
          <w:sz w:val="22"/>
          <w:szCs w:val="22"/>
        </w:rPr>
        <w:t>Artículo 15. Dimensiones.</w:t>
      </w:r>
    </w:p>
    <w:p w14:paraId="7286786B" w14:textId="77777777" w:rsidR="00817DB4" w:rsidRPr="009B4D5C" w:rsidRDefault="00817DB4" w:rsidP="00817DB4">
      <w:pPr>
        <w:jc w:val="both"/>
        <w:rPr>
          <w:sz w:val="22"/>
          <w:szCs w:val="22"/>
        </w:rPr>
      </w:pPr>
    </w:p>
    <w:p w14:paraId="2BC69FBA" w14:textId="77777777" w:rsidR="00817DB4" w:rsidRPr="009B4D5C" w:rsidRDefault="00817DB4" w:rsidP="00817DB4">
      <w:pPr>
        <w:jc w:val="both"/>
        <w:rPr>
          <w:i/>
          <w:iCs/>
          <w:sz w:val="22"/>
          <w:szCs w:val="22"/>
        </w:rPr>
      </w:pPr>
      <w:r w:rsidRPr="009B4D5C">
        <w:rPr>
          <w:i/>
          <w:iCs/>
          <w:sz w:val="22"/>
          <w:szCs w:val="22"/>
        </w:rPr>
        <w:t>Para la identificación de entidades de importancia sistémica se consideran las siguientes dimensiones:</w:t>
      </w:r>
    </w:p>
    <w:p w14:paraId="7DEA69F9" w14:textId="77777777" w:rsidR="00817DB4" w:rsidRPr="009B4D5C" w:rsidRDefault="00817DB4" w:rsidP="00817DB4">
      <w:pPr>
        <w:jc w:val="both"/>
        <w:rPr>
          <w:sz w:val="22"/>
          <w:szCs w:val="22"/>
        </w:rPr>
      </w:pPr>
    </w:p>
    <w:p w14:paraId="24F079A2" w14:textId="77777777" w:rsidR="00817DB4" w:rsidRPr="009B4D5C" w:rsidRDefault="00817DB4" w:rsidP="00817DB4">
      <w:pPr>
        <w:tabs>
          <w:tab w:val="left" w:pos="426"/>
        </w:tabs>
        <w:jc w:val="both"/>
        <w:rPr>
          <w:i/>
          <w:iCs/>
          <w:sz w:val="22"/>
          <w:szCs w:val="22"/>
        </w:rPr>
      </w:pPr>
      <w:r w:rsidRPr="009B4D5C">
        <w:rPr>
          <w:i/>
          <w:iCs/>
          <w:sz w:val="22"/>
          <w:szCs w:val="22"/>
        </w:rPr>
        <w:t>1.</w:t>
      </w:r>
      <w:r w:rsidRPr="009B4D5C">
        <w:rPr>
          <w:i/>
          <w:iCs/>
          <w:sz w:val="22"/>
          <w:szCs w:val="22"/>
        </w:rPr>
        <w:tab/>
        <w:t>Tamaño.</w:t>
      </w:r>
    </w:p>
    <w:p w14:paraId="3876FF36" w14:textId="77777777" w:rsidR="00817DB4" w:rsidRPr="009B4D5C" w:rsidRDefault="00817DB4" w:rsidP="00817DB4">
      <w:pPr>
        <w:tabs>
          <w:tab w:val="left" w:pos="426"/>
        </w:tabs>
        <w:jc w:val="both"/>
        <w:rPr>
          <w:i/>
          <w:iCs/>
          <w:sz w:val="22"/>
          <w:szCs w:val="22"/>
        </w:rPr>
      </w:pPr>
      <w:r w:rsidRPr="009B4D5C">
        <w:rPr>
          <w:i/>
          <w:iCs/>
          <w:sz w:val="22"/>
          <w:szCs w:val="22"/>
        </w:rPr>
        <w:t>2.</w:t>
      </w:r>
      <w:r w:rsidRPr="009B4D5C">
        <w:rPr>
          <w:i/>
          <w:iCs/>
          <w:sz w:val="22"/>
          <w:szCs w:val="22"/>
        </w:rPr>
        <w:tab/>
        <w:t>Interconexión.</w:t>
      </w:r>
    </w:p>
    <w:p w14:paraId="48299FC5" w14:textId="77777777" w:rsidR="00817DB4" w:rsidRPr="009B4D5C" w:rsidRDefault="00817DB4" w:rsidP="00817DB4">
      <w:pPr>
        <w:tabs>
          <w:tab w:val="left" w:pos="426"/>
        </w:tabs>
        <w:jc w:val="both"/>
        <w:rPr>
          <w:i/>
          <w:iCs/>
          <w:sz w:val="22"/>
          <w:szCs w:val="22"/>
        </w:rPr>
      </w:pPr>
      <w:r w:rsidRPr="009B4D5C">
        <w:rPr>
          <w:i/>
          <w:iCs/>
          <w:sz w:val="22"/>
          <w:szCs w:val="22"/>
        </w:rPr>
        <w:t>3.</w:t>
      </w:r>
      <w:r w:rsidRPr="009B4D5C">
        <w:rPr>
          <w:i/>
          <w:iCs/>
          <w:sz w:val="22"/>
          <w:szCs w:val="22"/>
        </w:rPr>
        <w:tab/>
        <w:t>Grado de sustitución.</w:t>
      </w:r>
    </w:p>
    <w:p w14:paraId="7FE32AA5" w14:textId="77777777" w:rsidR="00817DB4" w:rsidRPr="009B4D5C" w:rsidRDefault="00817DB4" w:rsidP="00817DB4">
      <w:pPr>
        <w:tabs>
          <w:tab w:val="left" w:pos="426"/>
        </w:tabs>
        <w:jc w:val="both"/>
        <w:rPr>
          <w:i/>
          <w:iCs/>
          <w:sz w:val="22"/>
          <w:szCs w:val="22"/>
        </w:rPr>
      </w:pPr>
      <w:r w:rsidRPr="009B4D5C">
        <w:rPr>
          <w:i/>
          <w:iCs/>
          <w:sz w:val="22"/>
          <w:szCs w:val="22"/>
        </w:rPr>
        <w:lastRenderedPageBreak/>
        <w:t>4.</w:t>
      </w:r>
      <w:r w:rsidRPr="009B4D5C">
        <w:rPr>
          <w:i/>
          <w:iCs/>
          <w:sz w:val="22"/>
          <w:szCs w:val="22"/>
        </w:rPr>
        <w:tab/>
        <w:t>Complejidad.</w:t>
      </w:r>
    </w:p>
    <w:p w14:paraId="48E7F33A" w14:textId="77777777" w:rsidR="00817DB4" w:rsidRPr="009B4D5C" w:rsidRDefault="00817DB4" w:rsidP="00817DB4">
      <w:pPr>
        <w:jc w:val="both"/>
        <w:rPr>
          <w:i/>
          <w:iCs/>
          <w:sz w:val="22"/>
          <w:szCs w:val="22"/>
        </w:rPr>
      </w:pPr>
    </w:p>
    <w:p w14:paraId="056AD882" w14:textId="77777777" w:rsidR="00817DB4" w:rsidRPr="009B4D5C" w:rsidRDefault="00817DB4" w:rsidP="00817DB4">
      <w:pPr>
        <w:jc w:val="both"/>
        <w:rPr>
          <w:i/>
          <w:iCs/>
          <w:sz w:val="22"/>
          <w:szCs w:val="22"/>
        </w:rPr>
      </w:pPr>
      <w:r w:rsidRPr="009B4D5C">
        <w:rPr>
          <w:i/>
          <w:iCs/>
          <w:sz w:val="22"/>
          <w:szCs w:val="22"/>
        </w:rPr>
        <w:t xml:space="preserve">Cada dimensión se compone de los indicadores definidos en el siguiente artículo, los cuales se expresan en base 10.000 como valor total.   </w:t>
      </w:r>
    </w:p>
    <w:p w14:paraId="6F009DEF" w14:textId="77777777" w:rsidR="00817DB4" w:rsidRPr="009B4D5C" w:rsidRDefault="00817DB4" w:rsidP="00817DB4">
      <w:pPr>
        <w:jc w:val="both"/>
        <w:rPr>
          <w:i/>
          <w:iCs/>
          <w:sz w:val="22"/>
          <w:szCs w:val="22"/>
        </w:rPr>
      </w:pPr>
    </w:p>
    <w:p w14:paraId="05B7C833" w14:textId="77777777" w:rsidR="00817DB4" w:rsidRPr="009B4D5C" w:rsidRDefault="00817DB4" w:rsidP="00817DB4">
      <w:pPr>
        <w:jc w:val="both"/>
        <w:rPr>
          <w:i/>
          <w:iCs/>
          <w:sz w:val="22"/>
          <w:szCs w:val="22"/>
        </w:rPr>
      </w:pPr>
      <w:r w:rsidRPr="009B4D5C">
        <w:rPr>
          <w:i/>
          <w:iCs/>
          <w:sz w:val="22"/>
          <w:szCs w:val="22"/>
        </w:rPr>
        <w:t>La metodología se aplica a cada una de las entidades supervisadas por SUPEN sin agrupaciones de ningún tipo.</w:t>
      </w:r>
    </w:p>
    <w:p w14:paraId="7687EF11" w14:textId="77777777" w:rsidR="00817DB4" w:rsidRPr="009B4D5C" w:rsidRDefault="00817DB4" w:rsidP="00817DB4">
      <w:pPr>
        <w:jc w:val="both"/>
        <w:rPr>
          <w:i/>
          <w:iCs/>
          <w:sz w:val="22"/>
          <w:szCs w:val="22"/>
        </w:rPr>
      </w:pPr>
    </w:p>
    <w:p w14:paraId="57EB5543" w14:textId="77777777" w:rsidR="00817DB4" w:rsidRPr="009B4D5C" w:rsidRDefault="00817DB4" w:rsidP="00817DB4">
      <w:pPr>
        <w:jc w:val="both"/>
        <w:rPr>
          <w:b/>
          <w:bCs/>
          <w:i/>
          <w:iCs/>
          <w:sz w:val="22"/>
          <w:szCs w:val="22"/>
        </w:rPr>
      </w:pPr>
      <w:r w:rsidRPr="009B4D5C">
        <w:rPr>
          <w:b/>
          <w:bCs/>
          <w:i/>
          <w:iCs/>
          <w:sz w:val="22"/>
          <w:szCs w:val="22"/>
        </w:rPr>
        <w:t>Artículo 16. Indicadores</w:t>
      </w:r>
    </w:p>
    <w:p w14:paraId="7A32CF5E" w14:textId="77777777" w:rsidR="00817DB4" w:rsidRPr="009B4D5C" w:rsidRDefault="00817DB4" w:rsidP="00817DB4">
      <w:pPr>
        <w:jc w:val="both"/>
        <w:rPr>
          <w:i/>
          <w:iCs/>
          <w:sz w:val="22"/>
          <w:szCs w:val="22"/>
        </w:rPr>
      </w:pPr>
    </w:p>
    <w:p w14:paraId="0A4A35CC" w14:textId="77777777" w:rsidR="00817DB4" w:rsidRPr="009B4D5C" w:rsidRDefault="00817DB4" w:rsidP="00817DB4">
      <w:pPr>
        <w:jc w:val="both"/>
        <w:rPr>
          <w:i/>
          <w:iCs/>
          <w:sz w:val="22"/>
          <w:szCs w:val="22"/>
        </w:rPr>
      </w:pPr>
      <w:r w:rsidRPr="009B4D5C">
        <w:rPr>
          <w:i/>
          <w:iCs/>
          <w:sz w:val="22"/>
          <w:szCs w:val="22"/>
        </w:rPr>
        <w:t>Para cada una de las dimensiones indicadas, se establecen los siguientes indicadores, medidos con respecto a los fondos propiedad de terceros administrados por las entidades, a la fecha corte de aplicación de la metodología y expresados en colones (cuando aplique):</w:t>
      </w:r>
    </w:p>
    <w:p w14:paraId="5BFE9545" w14:textId="77777777" w:rsidR="00817DB4" w:rsidRPr="009B4D5C" w:rsidRDefault="00817DB4" w:rsidP="00817DB4">
      <w:pPr>
        <w:jc w:val="both"/>
        <w:rPr>
          <w:i/>
          <w:iCs/>
          <w:sz w:val="22"/>
          <w:szCs w:val="22"/>
        </w:rPr>
      </w:pPr>
    </w:p>
    <w:p w14:paraId="50B160D1" w14:textId="77777777" w:rsidR="00817DB4" w:rsidRPr="009B4D5C" w:rsidRDefault="00817DB4" w:rsidP="00817DB4">
      <w:pPr>
        <w:tabs>
          <w:tab w:val="left" w:pos="426"/>
        </w:tabs>
        <w:jc w:val="both"/>
        <w:rPr>
          <w:b/>
          <w:bCs/>
          <w:i/>
          <w:iCs/>
          <w:sz w:val="22"/>
          <w:szCs w:val="22"/>
        </w:rPr>
      </w:pPr>
      <w:r w:rsidRPr="009B4D5C">
        <w:rPr>
          <w:b/>
          <w:bCs/>
          <w:i/>
          <w:iCs/>
          <w:sz w:val="22"/>
          <w:szCs w:val="22"/>
        </w:rPr>
        <w:t>1.</w:t>
      </w:r>
      <w:r w:rsidRPr="009B4D5C">
        <w:rPr>
          <w:b/>
          <w:bCs/>
          <w:i/>
          <w:iCs/>
          <w:sz w:val="22"/>
          <w:szCs w:val="22"/>
        </w:rPr>
        <w:tab/>
        <w:t>Tamaño.</w:t>
      </w:r>
    </w:p>
    <w:p w14:paraId="3FDC0938" w14:textId="77777777" w:rsidR="00817DB4" w:rsidRPr="009B4D5C" w:rsidRDefault="00817DB4" w:rsidP="00817DB4">
      <w:pPr>
        <w:jc w:val="both"/>
        <w:rPr>
          <w:i/>
          <w:iCs/>
          <w:sz w:val="22"/>
          <w:szCs w:val="22"/>
        </w:rPr>
      </w:pPr>
    </w:p>
    <w:p w14:paraId="775A7445" w14:textId="77777777" w:rsidR="00817DB4" w:rsidRPr="009B4D5C" w:rsidRDefault="00817DB4" w:rsidP="00817DB4">
      <w:pPr>
        <w:jc w:val="both"/>
        <w:rPr>
          <w:i/>
          <w:iCs/>
          <w:sz w:val="22"/>
          <w:szCs w:val="22"/>
        </w:rPr>
      </w:pPr>
      <w:r w:rsidRPr="009B4D5C">
        <w:rPr>
          <w:i/>
          <w:iCs/>
          <w:sz w:val="22"/>
          <w:szCs w:val="22"/>
        </w:rPr>
        <w:t>Los indicadores dentro de cada dimensión son los siguientes:</w:t>
      </w:r>
    </w:p>
    <w:p w14:paraId="642B6D7B" w14:textId="77777777" w:rsidR="00817DB4" w:rsidRPr="009B4D5C" w:rsidRDefault="00817DB4" w:rsidP="00817DB4">
      <w:pPr>
        <w:jc w:val="both"/>
        <w:rPr>
          <w:i/>
          <w:iCs/>
          <w:sz w:val="22"/>
          <w:szCs w:val="22"/>
        </w:rPr>
      </w:pPr>
    </w:p>
    <w:p w14:paraId="7113EF9B" w14:textId="77777777" w:rsidR="00817DB4" w:rsidRPr="009B4D5C" w:rsidRDefault="00817DB4" w:rsidP="00817DB4">
      <w:pPr>
        <w:ind w:left="851" w:hanging="425"/>
        <w:jc w:val="both"/>
        <w:rPr>
          <w:i/>
          <w:iCs/>
          <w:sz w:val="22"/>
          <w:szCs w:val="22"/>
        </w:rPr>
      </w:pPr>
      <w:r w:rsidRPr="009B4D5C">
        <w:rPr>
          <w:i/>
          <w:iCs/>
          <w:sz w:val="22"/>
          <w:szCs w:val="22"/>
        </w:rPr>
        <w:t>a.</w:t>
      </w:r>
      <w:r w:rsidRPr="009B4D5C">
        <w:rPr>
          <w:i/>
          <w:iCs/>
          <w:sz w:val="22"/>
          <w:szCs w:val="22"/>
        </w:rPr>
        <w:tab/>
        <w:t>Activo administrado, medido como la suma de los activos de los fondos administrados por la entidad.</w:t>
      </w:r>
    </w:p>
    <w:p w14:paraId="24DC0B0A" w14:textId="77777777" w:rsidR="00817DB4" w:rsidRPr="009B4D5C" w:rsidRDefault="00817DB4" w:rsidP="00817DB4">
      <w:pPr>
        <w:ind w:left="851" w:hanging="425"/>
        <w:jc w:val="both"/>
        <w:rPr>
          <w:i/>
          <w:iCs/>
          <w:sz w:val="22"/>
          <w:szCs w:val="22"/>
        </w:rPr>
      </w:pPr>
      <w:r w:rsidRPr="009B4D5C">
        <w:rPr>
          <w:i/>
          <w:iCs/>
          <w:sz w:val="22"/>
          <w:szCs w:val="22"/>
        </w:rPr>
        <w:t>b.</w:t>
      </w:r>
      <w:r w:rsidRPr="009B4D5C">
        <w:rPr>
          <w:i/>
          <w:iCs/>
          <w:sz w:val="22"/>
          <w:szCs w:val="22"/>
        </w:rPr>
        <w:tab/>
        <w:t>Cantidad de afiliados y pensionados totales, medido como el conteo de personas (diferentes) relacionadas con los fondos administrados por la entidad.</w:t>
      </w:r>
    </w:p>
    <w:p w14:paraId="28A050AE" w14:textId="77777777" w:rsidR="00817DB4" w:rsidRPr="009B4D5C" w:rsidRDefault="00817DB4" w:rsidP="00817DB4">
      <w:pPr>
        <w:jc w:val="both"/>
        <w:rPr>
          <w:i/>
          <w:iCs/>
          <w:sz w:val="22"/>
          <w:szCs w:val="22"/>
        </w:rPr>
      </w:pPr>
    </w:p>
    <w:p w14:paraId="2943F915" w14:textId="77777777" w:rsidR="00817DB4" w:rsidRPr="009B4D5C" w:rsidRDefault="00817DB4" w:rsidP="00817DB4">
      <w:pPr>
        <w:jc w:val="both"/>
        <w:rPr>
          <w:i/>
          <w:iCs/>
          <w:sz w:val="22"/>
          <w:szCs w:val="22"/>
        </w:rPr>
      </w:pPr>
      <w:r w:rsidRPr="009B4D5C">
        <w:rPr>
          <w:i/>
          <w:iCs/>
          <w:sz w:val="22"/>
          <w:szCs w:val="22"/>
        </w:rPr>
        <w:t>Los indicadores de esta dimensión categorizan a la entidad con respecto a los activos administrados, así como la cantidad de afiliados y pensionados. Entre mayor sea el tamaño de la entidad supervisada, mayor sería el impacto que sus dificultades o quiebra alteren el funcionamiento normal de los mercados financieros en los que opera.</w:t>
      </w:r>
    </w:p>
    <w:p w14:paraId="2FB75440" w14:textId="77777777" w:rsidR="00817DB4" w:rsidRPr="009B4D5C" w:rsidRDefault="00817DB4" w:rsidP="00817DB4">
      <w:pPr>
        <w:jc w:val="both"/>
        <w:rPr>
          <w:i/>
          <w:iCs/>
          <w:sz w:val="22"/>
          <w:szCs w:val="22"/>
        </w:rPr>
      </w:pPr>
    </w:p>
    <w:p w14:paraId="2727E8E1" w14:textId="77777777" w:rsidR="00817DB4" w:rsidRPr="009B4D5C" w:rsidRDefault="00817DB4" w:rsidP="00817DB4">
      <w:pPr>
        <w:tabs>
          <w:tab w:val="left" w:pos="426"/>
        </w:tabs>
        <w:jc w:val="both"/>
        <w:rPr>
          <w:b/>
          <w:bCs/>
          <w:i/>
          <w:iCs/>
          <w:sz w:val="22"/>
          <w:szCs w:val="22"/>
        </w:rPr>
      </w:pPr>
      <w:r w:rsidRPr="009B4D5C">
        <w:rPr>
          <w:b/>
          <w:bCs/>
          <w:i/>
          <w:iCs/>
          <w:sz w:val="22"/>
          <w:szCs w:val="22"/>
        </w:rPr>
        <w:t>2.</w:t>
      </w:r>
      <w:r w:rsidRPr="009B4D5C">
        <w:rPr>
          <w:b/>
          <w:bCs/>
          <w:i/>
          <w:iCs/>
          <w:sz w:val="22"/>
          <w:szCs w:val="22"/>
        </w:rPr>
        <w:tab/>
        <w:t>Interconexión.</w:t>
      </w:r>
    </w:p>
    <w:p w14:paraId="411DBA1C" w14:textId="77777777" w:rsidR="00817DB4" w:rsidRPr="009B4D5C" w:rsidRDefault="00817DB4" w:rsidP="00817DB4">
      <w:pPr>
        <w:jc w:val="both"/>
        <w:rPr>
          <w:i/>
          <w:iCs/>
          <w:sz w:val="22"/>
          <w:szCs w:val="22"/>
        </w:rPr>
      </w:pPr>
    </w:p>
    <w:p w14:paraId="2C798AC1" w14:textId="77777777" w:rsidR="00817DB4" w:rsidRPr="009B4D5C" w:rsidRDefault="00817DB4" w:rsidP="00817DB4">
      <w:pPr>
        <w:jc w:val="both"/>
        <w:rPr>
          <w:i/>
          <w:iCs/>
          <w:sz w:val="22"/>
          <w:szCs w:val="22"/>
        </w:rPr>
      </w:pPr>
      <w:r w:rsidRPr="009B4D5C">
        <w:rPr>
          <w:i/>
          <w:iCs/>
          <w:sz w:val="22"/>
          <w:szCs w:val="22"/>
        </w:rPr>
        <w:t>Los indicadores dentro de cada dimensión son los siguientes:</w:t>
      </w:r>
    </w:p>
    <w:p w14:paraId="4DCCEBFF" w14:textId="77777777" w:rsidR="00817DB4" w:rsidRPr="009B4D5C" w:rsidRDefault="00817DB4" w:rsidP="00817DB4">
      <w:pPr>
        <w:jc w:val="both"/>
        <w:rPr>
          <w:i/>
          <w:iCs/>
          <w:sz w:val="22"/>
          <w:szCs w:val="22"/>
        </w:rPr>
      </w:pPr>
    </w:p>
    <w:p w14:paraId="49868654" w14:textId="77777777" w:rsidR="00817DB4" w:rsidRPr="009B4D5C" w:rsidRDefault="00817DB4" w:rsidP="00817DB4">
      <w:pPr>
        <w:ind w:left="851" w:hanging="425"/>
        <w:jc w:val="both"/>
        <w:rPr>
          <w:i/>
          <w:iCs/>
          <w:sz w:val="22"/>
          <w:szCs w:val="22"/>
        </w:rPr>
      </w:pPr>
      <w:r w:rsidRPr="009B4D5C">
        <w:rPr>
          <w:i/>
          <w:iCs/>
          <w:sz w:val="22"/>
          <w:szCs w:val="22"/>
        </w:rPr>
        <w:t>a.</w:t>
      </w:r>
      <w:r w:rsidRPr="009B4D5C">
        <w:rPr>
          <w:i/>
          <w:iCs/>
          <w:sz w:val="22"/>
          <w:szCs w:val="22"/>
        </w:rPr>
        <w:tab/>
        <w:t>Inversión en deuda a corto plazo emitido por entidades bancarias, medido como la proporción de las inversiones en deuda individual de entidades bancarias sujetas a la fiscalización de la Superintendencia General de Entidades Financieras, con respecto a las obligaciones a plazo con bancos relacionados.</w:t>
      </w:r>
    </w:p>
    <w:p w14:paraId="48DC258C" w14:textId="77777777" w:rsidR="00817DB4" w:rsidRPr="009B4D5C" w:rsidRDefault="00817DB4" w:rsidP="00817DB4">
      <w:pPr>
        <w:ind w:left="851" w:hanging="425"/>
        <w:jc w:val="both"/>
        <w:rPr>
          <w:i/>
          <w:iCs/>
          <w:sz w:val="22"/>
          <w:szCs w:val="22"/>
        </w:rPr>
      </w:pPr>
      <w:r w:rsidRPr="009B4D5C">
        <w:rPr>
          <w:i/>
          <w:iCs/>
          <w:sz w:val="22"/>
          <w:szCs w:val="22"/>
        </w:rPr>
        <w:t>b.</w:t>
      </w:r>
      <w:r w:rsidRPr="009B4D5C">
        <w:rPr>
          <w:i/>
          <w:iCs/>
          <w:sz w:val="22"/>
          <w:szCs w:val="22"/>
        </w:rPr>
        <w:tab/>
        <w:t>Inversión en deuda a corto plazo emitido por entidades del resto del sector financiero, medido como la proporción de las inversiones en deuda individual de entidades financieras no bancarias con respecto a las obligaciones a plazo con entidades financieras no bancarias relacionadas.</w:t>
      </w:r>
    </w:p>
    <w:p w14:paraId="40994E51" w14:textId="77777777" w:rsidR="00817DB4" w:rsidRPr="009B4D5C" w:rsidRDefault="00817DB4" w:rsidP="00817DB4">
      <w:pPr>
        <w:ind w:left="851" w:hanging="425"/>
        <w:jc w:val="both"/>
        <w:rPr>
          <w:i/>
          <w:iCs/>
          <w:sz w:val="22"/>
          <w:szCs w:val="22"/>
        </w:rPr>
      </w:pPr>
      <w:r w:rsidRPr="009B4D5C">
        <w:rPr>
          <w:i/>
          <w:iCs/>
          <w:sz w:val="22"/>
          <w:szCs w:val="22"/>
        </w:rPr>
        <w:t>c.</w:t>
      </w:r>
      <w:r w:rsidRPr="009B4D5C">
        <w:rPr>
          <w:i/>
          <w:iCs/>
          <w:sz w:val="22"/>
          <w:szCs w:val="22"/>
        </w:rPr>
        <w:tab/>
        <w:t>Participación en fondos de inversión, medido como la proporción de las inversiones en fondos de inversión con respecto al activo de los fondos de inversiones gestionados por entidades relacionadas.</w:t>
      </w:r>
    </w:p>
    <w:p w14:paraId="545E46D3" w14:textId="77777777" w:rsidR="00817DB4" w:rsidRPr="009B4D5C" w:rsidRDefault="00817DB4" w:rsidP="00817DB4">
      <w:pPr>
        <w:ind w:left="851" w:hanging="425"/>
        <w:jc w:val="both"/>
        <w:rPr>
          <w:i/>
          <w:iCs/>
          <w:sz w:val="22"/>
          <w:szCs w:val="22"/>
        </w:rPr>
      </w:pPr>
    </w:p>
    <w:p w14:paraId="3FCFFED8" w14:textId="77777777" w:rsidR="00817DB4" w:rsidRPr="009B4D5C" w:rsidRDefault="00817DB4" w:rsidP="00817DB4">
      <w:pPr>
        <w:jc w:val="both"/>
        <w:rPr>
          <w:i/>
          <w:iCs/>
          <w:sz w:val="22"/>
          <w:szCs w:val="22"/>
        </w:rPr>
      </w:pPr>
      <w:r w:rsidRPr="009B4D5C">
        <w:rPr>
          <w:i/>
          <w:iCs/>
          <w:sz w:val="22"/>
          <w:szCs w:val="22"/>
        </w:rPr>
        <w:t xml:space="preserve">Los indicadores en interconexión son evaluados con respecto a las entidades que forman parte de una industria o sector financiero relacionado con los fondos administrados por la entidad supervisada. Cuando una entidad presenta dificultades en su gestión financiera y se encuentra muy interconectada con otras entidades financieras, podría provocar efectos adversos en otras entidades. </w:t>
      </w:r>
    </w:p>
    <w:p w14:paraId="2970776B" w14:textId="77777777" w:rsidR="00817DB4" w:rsidRPr="009B4D5C" w:rsidRDefault="00817DB4" w:rsidP="00817DB4">
      <w:pPr>
        <w:jc w:val="both"/>
        <w:rPr>
          <w:i/>
          <w:iCs/>
          <w:sz w:val="22"/>
          <w:szCs w:val="22"/>
        </w:rPr>
      </w:pPr>
    </w:p>
    <w:p w14:paraId="5AA1FA45" w14:textId="77777777" w:rsidR="00817DB4" w:rsidRPr="009B4D5C" w:rsidRDefault="00817DB4" w:rsidP="00817DB4">
      <w:pPr>
        <w:tabs>
          <w:tab w:val="left" w:pos="426"/>
        </w:tabs>
        <w:jc w:val="both"/>
        <w:rPr>
          <w:b/>
          <w:bCs/>
          <w:i/>
          <w:iCs/>
          <w:sz w:val="22"/>
          <w:szCs w:val="22"/>
        </w:rPr>
      </w:pPr>
      <w:r w:rsidRPr="009B4D5C">
        <w:rPr>
          <w:b/>
          <w:bCs/>
          <w:i/>
          <w:iCs/>
          <w:sz w:val="22"/>
          <w:szCs w:val="22"/>
        </w:rPr>
        <w:lastRenderedPageBreak/>
        <w:t xml:space="preserve">3. </w:t>
      </w:r>
      <w:r w:rsidRPr="009B4D5C">
        <w:rPr>
          <w:b/>
          <w:bCs/>
          <w:i/>
          <w:iCs/>
          <w:sz w:val="22"/>
          <w:szCs w:val="22"/>
        </w:rPr>
        <w:tab/>
        <w:t>Complejidad.</w:t>
      </w:r>
    </w:p>
    <w:p w14:paraId="130AFDF7" w14:textId="77777777" w:rsidR="00817DB4" w:rsidRPr="009B4D5C" w:rsidRDefault="00817DB4" w:rsidP="00817DB4">
      <w:pPr>
        <w:jc w:val="both"/>
        <w:rPr>
          <w:i/>
          <w:iCs/>
          <w:sz w:val="22"/>
          <w:szCs w:val="22"/>
        </w:rPr>
      </w:pPr>
    </w:p>
    <w:p w14:paraId="27BD987E" w14:textId="77777777" w:rsidR="00817DB4" w:rsidRPr="009B4D5C" w:rsidRDefault="00817DB4" w:rsidP="00817DB4">
      <w:pPr>
        <w:jc w:val="both"/>
        <w:rPr>
          <w:i/>
          <w:iCs/>
          <w:sz w:val="22"/>
          <w:szCs w:val="22"/>
        </w:rPr>
      </w:pPr>
      <w:r w:rsidRPr="009B4D5C">
        <w:rPr>
          <w:i/>
          <w:iCs/>
          <w:sz w:val="22"/>
          <w:szCs w:val="22"/>
        </w:rPr>
        <w:t>Los indicadores dentro de cada dimensión son los siguientes:</w:t>
      </w:r>
    </w:p>
    <w:p w14:paraId="2F8FD03F" w14:textId="77777777" w:rsidR="00817DB4" w:rsidRPr="009B4D5C" w:rsidRDefault="00817DB4" w:rsidP="00817DB4">
      <w:pPr>
        <w:jc w:val="both"/>
        <w:rPr>
          <w:i/>
          <w:iCs/>
          <w:sz w:val="22"/>
          <w:szCs w:val="22"/>
        </w:rPr>
      </w:pPr>
    </w:p>
    <w:p w14:paraId="3B34DCC0" w14:textId="77777777" w:rsidR="00817DB4" w:rsidRPr="009B4D5C" w:rsidRDefault="00817DB4" w:rsidP="00817DB4">
      <w:pPr>
        <w:ind w:left="851" w:hanging="425"/>
        <w:jc w:val="both"/>
        <w:rPr>
          <w:i/>
          <w:iCs/>
          <w:sz w:val="22"/>
          <w:szCs w:val="22"/>
        </w:rPr>
      </w:pPr>
      <w:bookmarkStart w:id="7" w:name="_Hlk153529817"/>
      <w:r w:rsidRPr="009B4D5C">
        <w:rPr>
          <w:i/>
          <w:iCs/>
          <w:sz w:val="22"/>
          <w:szCs w:val="22"/>
        </w:rPr>
        <w:t>a.</w:t>
      </w:r>
      <w:r w:rsidRPr="009B4D5C">
        <w:rPr>
          <w:i/>
          <w:iCs/>
          <w:sz w:val="22"/>
          <w:szCs w:val="22"/>
        </w:rPr>
        <w:tab/>
      </w:r>
      <w:bookmarkEnd w:id="7"/>
      <w:r w:rsidRPr="009B4D5C">
        <w:rPr>
          <w:i/>
          <w:iCs/>
          <w:sz w:val="22"/>
          <w:szCs w:val="22"/>
        </w:rPr>
        <w:t>Cantidad de fondos administrados, medido como el conteo de fondos propiedad de terceros administrados por la entidad supervisada.</w:t>
      </w:r>
    </w:p>
    <w:p w14:paraId="76057FBF" w14:textId="77777777" w:rsidR="00817DB4" w:rsidRPr="009B4D5C" w:rsidRDefault="00817DB4" w:rsidP="00817DB4">
      <w:pPr>
        <w:ind w:left="851" w:hanging="425"/>
        <w:jc w:val="both"/>
        <w:rPr>
          <w:i/>
          <w:iCs/>
          <w:sz w:val="22"/>
          <w:szCs w:val="22"/>
        </w:rPr>
      </w:pPr>
      <w:r w:rsidRPr="009B4D5C">
        <w:rPr>
          <w:i/>
          <w:iCs/>
          <w:sz w:val="22"/>
          <w:szCs w:val="22"/>
        </w:rPr>
        <w:t>b.</w:t>
      </w:r>
      <w:r w:rsidRPr="009B4D5C">
        <w:rPr>
          <w:i/>
          <w:iCs/>
          <w:sz w:val="22"/>
          <w:szCs w:val="22"/>
        </w:rPr>
        <w:tab/>
        <w:t>Activos en inversiones internacionales, medido como las inversiones internacionales en los fondos administrados por la entidad supervisada en fondos de inversión locales con respecto activo total de fondos administrados por la entidad supervisada.</w:t>
      </w:r>
    </w:p>
    <w:p w14:paraId="4C02C5F6" w14:textId="77777777" w:rsidR="00817DB4" w:rsidRPr="009B4D5C" w:rsidRDefault="00817DB4" w:rsidP="00817DB4">
      <w:pPr>
        <w:ind w:left="851" w:hanging="425"/>
        <w:jc w:val="both"/>
        <w:rPr>
          <w:i/>
          <w:iCs/>
          <w:sz w:val="22"/>
          <w:szCs w:val="22"/>
        </w:rPr>
      </w:pPr>
      <w:r w:rsidRPr="009B4D5C">
        <w:rPr>
          <w:i/>
          <w:iCs/>
          <w:sz w:val="22"/>
          <w:szCs w:val="22"/>
        </w:rPr>
        <w:t>c.</w:t>
      </w:r>
      <w:r w:rsidRPr="009B4D5C">
        <w:rPr>
          <w:i/>
          <w:iCs/>
          <w:sz w:val="22"/>
          <w:szCs w:val="22"/>
        </w:rPr>
        <w:tab/>
        <w:t>Cantidad de gestores y emisores, medido como el conteo de gestores y emisores presentes en los fondos propiedad de terceros administrados por la entidad supervisada.</w:t>
      </w:r>
    </w:p>
    <w:p w14:paraId="217146B6" w14:textId="77777777" w:rsidR="00817DB4" w:rsidRPr="009B4D5C" w:rsidRDefault="00817DB4" w:rsidP="00817DB4">
      <w:pPr>
        <w:jc w:val="both"/>
        <w:rPr>
          <w:i/>
          <w:iCs/>
          <w:sz w:val="22"/>
          <w:szCs w:val="22"/>
        </w:rPr>
      </w:pPr>
    </w:p>
    <w:p w14:paraId="11B26D84" w14:textId="77777777" w:rsidR="00817DB4" w:rsidRPr="009B4D5C" w:rsidRDefault="00817DB4" w:rsidP="00817DB4">
      <w:pPr>
        <w:jc w:val="both"/>
        <w:rPr>
          <w:i/>
          <w:iCs/>
          <w:sz w:val="22"/>
          <w:szCs w:val="22"/>
        </w:rPr>
      </w:pPr>
      <w:r w:rsidRPr="009B4D5C">
        <w:rPr>
          <w:i/>
          <w:iCs/>
          <w:sz w:val="22"/>
          <w:szCs w:val="22"/>
        </w:rPr>
        <w:t>Mide a la entidad financiera en términos de su negocio, estructura u operación lo que a su vez está directamente relacionada con el impacto sistémico que pueda provocar en el sistema financiero. Los indicadores de esta dimensión determinan la cantidad de gestores y emisores que participan en los fondos propiedad de terceros administrados por la entidad, y la incorporación de instrumentos extranjeros.</w:t>
      </w:r>
    </w:p>
    <w:p w14:paraId="052019AE" w14:textId="77777777" w:rsidR="00817DB4" w:rsidRPr="009B4D5C" w:rsidRDefault="00817DB4" w:rsidP="00817DB4">
      <w:pPr>
        <w:jc w:val="both"/>
        <w:rPr>
          <w:i/>
          <w:iCs/>
          <w:sz w:val="22"/>
          <w:szCs w:val="22"/>
        </w:rPr>
      </w:pPr>
    </w:p>
    <w:p w14:paraId="3B85C895" w14:textId="77777777" w:rsidR="00817DB4" w:rsidRPr="009B4D5C" w:rsidRDefault="00817DB4" w:rsidP="00817DB4">
      <w:pPr>
        <w:tabs>
          <w:tab w:val="left" w:pos="426"/>
        </w:tabs>
        <w:jc w:val="both"/>
        <w:rPr>
          <w:b/>
          <w:bCs/>
          <w:i/>
          <w:iCs/>
          <w:sz w:val="22"/>
          <w:szCs w:val="22"/>
        </w:rPr>
      </w:pPr>
      <w:r w:rsidRPr="009B4D5C">
        <w:rPr>
          <w:b/>
          <w:bCs/>
          <w:i/>
          <w:iCs/>
          <w:sz w:val="22"/>
          <w:szCs w:val="22"/>
        </w:rPr>
        <w:t>4. Grado de sustitución.</w:t>
      </w:r>
    </w:p>
    <w:p w14:paraId="166CC197" w14:textId="77777777" w:rsidR="00817DB4" w:rsidRPr="009B4D5C" w:rsidRDefault="00817DB4" w:rsidP="00817DB4">
      <w:pPr>
        <w:jc w:val="both"/>
        <w:rPr>
          <w:i/>
          <w:iCs/>
          <w:sz w:val="22"/>
          <w:szCs w:val="22"/>
        </w:rPr>
      </w:pPr>
    </w:p>
    <w:p w14:paraId="654B7FF1" w14:textId="77777777" w:rsidR="00817DB4" w:rsidRPr="009B4D5C" w:rsidRDefault="00817DB4" w:rsidP="00817DB4">
      <w:pPr>
        <w:jc w:val="both"/>
        <w:rPr>
          <w:i/>
          <w:iCs/>
          <w:sz w:val="22"/>
          <w:szCs w:val="22"/>
        </w:rPr>
      </w:pPr>
      <w:r w:rsidRPr="009B4D5C">
        <w:rPr>
          <w:i/>
          <w:iCs/>
          <w:sz w:val="22"/>
          <w:szCs w:val="22"/>
        </w:rPr>
        <w:t>Los indicadores dentro de cada dimensión son los siguientes:</w:t>
      </w:r>
    </w:p>
    <w:p w14:paraId="1C782256" w14:textId="77777777" w:rsidR="00817DB4" w:rsidRPr="009B4D5C" w:rsidRDefault="00817DB4" w:rsidP="00817DB4">
      <w:pPr>
        <w:jc w:val="both"/>
        <w:rPr>
          <w:i/>
          <w:iCs/>
          <w:sz w:val="22"/>
          <w:szCs w:val="22"/>
        </w:rPr>
      </w:pPr>
    </w:p>
    <w:p w14:paraId="47C9F24B" w14:textId="77777777" w:rsidR="00817DB4" w:rsidRPr="009B4D5C" w:rsidRDefault="00817DB4" w:rsidP="00817DB4">
      <w:pPr>
        <w:ind w:left="851" w:hanging="425"/>
        <w:jc w:val="both"/>
        <w:rPr>
          <w:i/>
          <w:iCs/>
          <w:sz w:val="22"/>
          <w:szCs w:val="22"/>
        </w:rPr>
      </w:pPr>
      <w:r w:rsidRPr="009B4D5C">
        <w:rPr>
          <w:i/>
          <w:iCs/>
          <w:sz w:val="22"/>
          <w:szCs w:val="22"/>
        </w:rPr>
        <w:t>a.</w:t>
      </w:r>
      <w:r w:rsidRPr="009B4D5C">
        <w:rPr>
          <w:i/>
          <w:iCs/>
          <w:sz w:val="22"/>
          <w:szCs w:val="22"/>
        </w:rPr>
        <w:tab/>
        <w:t>Participación en el mercado de fondos de inversión locales, medido como inversiones en los fondos administrados por la entidad supervisada en fondos de inversión locales con respecto el activo de la industria de fondos de inversión inscrita en el Registro Nacional de Valores e Intermediarios.</w:t>
      </w:r>
    </w:p>
    <w:p w14:paraId="2960F1CD" w14:textId="77777777" w:rsidR="00817DB4" w:rsidRPr="009B4D5C" w:rsidRDefault="00817DB4" w:rsidP="00817DB4">
      <w:pPr>
        <w:ind w:left="851" w:hanging="425"/>
        <w:jc w:val="both"/>
        <w:rPr>
          <w:i/>
          <w:iCs/>
          <w:sz w:val="22"/>
          <w:szCs w:val="22"/>
        </w:rPr>
      </w:pPr>
      <w:r w:rsidRPr="009B4D5C">
        <w:rPr>
          <w:i/>
          <w:iCs/>
          <w:sz w:val="22"/>
          <w:szCs w:val="22"/>
        </w:rPr>
        <w:t>b.</w:t>
      </w:r>
      <w:r w:rsidRPr="009B4D5C">
        <w:rPr>
          <w:i/>
          <w:iCs/>
          <w:sz w:val="22"/>
          <w:szCs w:val="22"/>
        </w:rPr>
        <w:tab/>
        <w:t>Participación en el Mercado de Moneda Extranjera, medido como la proporción del monto de las operaciones de compra en Monex en los últimos 6 meses con respecto a monto total transado en Monex en ese mismo periodo.</w:t>
      </w:r>
    </w:p>
    <w:p w14:paraId="0729150D" w14:textId="77777777" w:rsidR="00817DB4" w:rsidRPr="009B4D5C" w:rsidRDefault="00817DB4" w:rsidP="00817DB4">
      <w:pPr>
        <w:ind w:left="851" w:hanging="425"/>
        <w:jc w:val="both"/>
        <w:rPr>
          <w:i/>
          <w:iCs/>
          <w:sz w:val="22"/>
          <w:szCs w:val="22"/>
        </w:rPr>
      </w:pPr>
      <w:r w:rsidRPr="009B4D5C">
        <w:rPr>
          <w:i/>
          <w:iCs/>
          <w:sz w:val="22"/>
          <w:szCs w:val="22"/>
        </w:rPr>
        <w:t>c.</w:t>
      </w:r>
      <w:r w:rsidRPr="009B4D5C">
        <w:rPr>
          <w:i/>
          <w:iCs/>
          <w:sz w:val="22"/>
          <w:szCs w:val="22"/>
        </w:rPr>
        <w:tab/>
        <w:t>Participación en deuda de Gobierno y BCCR, medido como la proporción de las inversiones en deuda estandarizada local (Gobierno y BCCR) mayor a 365 días con respecto al monto de total de las emisiones según el Registro Nacional de Valores e Intermediarios de para esos emisores.</w:t>
      </w:r>
    </w:p>
    <w:p w14:paraId="4E194374" w14:textId="77777777" w:rsidR="00817DB4" w:rsidRPr="009B4D5C" w:rsidRDefault="00817DB4" w:rsidP="00817DB4">
      <w:pPr>
        <w:jc w:val="both"/>
        <w:rPr>
          <w:sz w:val="22"/>
          <w:szCs w:val="22"/>
        </w:rPr>
      </w:pPr>
    </w:p>
    <w:p w14:paraId="3A3D87AB" w14:textId="77777777" w:rsidR="00817DB4" w:rsidRPr="009B4D5C" w:rsidRDefault="00817DB4" w:rsidP="00817DB4">
      <w:pPr>
        <w:jc w:val="both"/>
        <w:rPr>
          <w:i/>
          <w:iCs/>
          <w:sz w:val="22"/>
          <w:szCs w:val="22"/>
        </w:rPr>
      </w:pPr>
      <w:r w:rsidRPr="009B4D5C">
        <w:rPr>
          <w:i/>
          <w:iCs/>
          <w:sz w:val="22"/>
          <w:szCs w:val="22"/>
        </w:rPr>
        <w:t>Mide el impacto que tendría en el sistema financiero las dificultades que la entidad presente, o su quiebra o salida de la industria. Entre más difícil sea sustituir a una entidad financiera ya sea como participante en el mercado o como proveedor de servicios a clientes, mayor será el impacto sistémico que genere esa entidad. Estos indicadores evalúan la posición de la entidad (por los activos propiedad de terceros administrados) con respecto a la industria financiera o mercado en la que participa.</w:t>
      </w:r>
    </w:p>
    <w:p w14:paraId="658A6C62" w14:textId="77777777" w:rsidR="00817DB4" w:rsidRPr="009B4D5C" w:rsidRDefault="00817DB4" w:rsidP="00817DB4">
      <w:pPr>
        <w:jc w:val="both"/>
        <w:rPr>
          <w:i/>
          <w:iCs/>
          <w:sz w:val="22"/>
          <w:szCs w:val="22"/>
        </w:rPr>
      </w:pPr>
    </w:p>
    <w:p w14:paraId="0A6CCD76" w14:textId="77777777" w:rsidR="00817DB4" w:rsidRPr="009B4D5C" w:rsidRDefault="00817DB4" w:rsidP="00817DB4">
      <w:pPr>
        <w:jc w:val="both"/>
        <w:rPr>
          <w:b/>
          <w:bCs/>
          <w:i/>
          <w:iCs/>
          <w:sz w:val="22"/>
          <w:szCs w:val="22"/>
        </w:rPr>
      </w:pPr>
      <w:r w:rsidRPr="009B4D5C">
        <w:rPr>
          <w:b/>
          <w:bCs/>
          <w:i/>
          <w:iCs/>
          <w:sz w:val="22"/>
          <w:szCs w:val="22"/>
        </w:rPr>
        <w:t>Artículo 17. Pesos de las dimensiones e indicadores para el cálculo del Índice Sistémico.</w:t>
      </w:r>
    </w:p>
    <w:p w14:paraId="0B12E3E3" w14:textId="77777777" w:rsidR="00817DB4" w:rsidRPr="009B4D5C" w:rsidRDefault="00817DB4" w:rsidP="00817DB4">
      <w:pPr>
        <w:jc w:val="both"/>
        <w:rPr>
          <w:i/>
          <w:iCs/>
          <w:sz w:val="22"/>
          <w:szCs w:val="22"/>
        </w:rPr>
      </w:pPr>
    </w:p>
    <w:p w14:paraId="6EBD41E5" w14:textId="77777777" w:rsidR="00817DB4" w:rsidRPr="009B4D5C" w:rsidRDefault="00817DB4" w:rsidP="00817DB4">
      <w:pPr>
        <w:jc w:val="both"/>
        <w:rPr>
          <w:i/>
          <w:iCs/>
          <w:sz w:val="22"/>
          <w:szCs w:val="22"/>
        </w:rPr>
      </w:pPr>
      <w:r w:rsidRPr="009B4D5C">
        <w:rPr>
          <w:i/>
          <w:iCs/>
          <w:sz w:val="22"/>
          <w:szCs w:val="22"/>
        </w:rPr>
        <w:t xml:space="preserve">La siguiente tabla muestra cada una de las dimensiones para la identificación de entidades de importancia sistémica, así como el indicador y el peso correspondiente. </w:t>
      </w:r>
    </w:p>
    <w:p w14:paraId="6D95E480" w14:textId="77777777" w:rsidR="00817DB4" w:rsidRPr="009B4D5C" w:rsidRDefault="00817DB4" w:rsidP="00817DB4">
      <w:pPr>
        <w:jc w:val="both"/>
        <w:rPr>
          <w:i/>
          <w:iCs/>
          <w:sz w:val="22"/>
          <w:szCs w:val="22"/>
        </w:rPr>
      </w:pPr>
    </w:p>
    <w:p w14:paraId="2A6BFB83" w14:textId="77777777" w:rsidR="00817DB4" w:rsidRPr="009B4D5C" w:rsidRDefault="00817DB4" w:rsidP="00817DB4">
      <w:pPr>
        <w:jc w:val="both"/>
        <w:rPr>
          <w:i/>
          <w:iCs/>
          <w:sz w:val="22"/>
          <w:szCs w:val="22"/>
        </w:rPr>
      </w:pPr>
      <w:r w:rsidRPr="009B4D5C">
        <w:rPr>
          <w:i/>
          <w:iCs/>
          <w:sz w:val="22"/>
          <w:szCs w:val="22"/>
        </w:rPr>
        <w:t>Dependiendo del número de indicadores en cada dimensión, se reparte en forma equitativa el ponderador respectivo.</w:t>
      </w:r>
    </w:p>
    <w:p w14:paraId="0B9C918E" w14:textId="77777777" w:rsidR="00817DB4" w:rsidRPr="009B4D5C" w:rsidRDefault="00817DB4" w:rsidP="00817DB4">
      <w:pPr>
        <w:jc w:val="both"/>
        <w:rPr>
          <w:sz w:val="22"/>
          <w:szCs w:val="22"/>
        </w:rPr>
      </w:pPr>
      <w:r w:rsidRPr="009B4D5C">
        <w:rPr>
          <w:sz w:val="22"/>
          <w:szCs w:val="22"/>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3543"/>
        <w:gridCol w:w="1560"/>
        <w:gridCol w:w="1559"/>
      </w:tblGrid>
      <w:tr w:rsidR="00817DB4" w:rsidRPr="009B4D5C" w14:paraId="230DD7F6" w14:textId="77777777" w:rsidTr="002F2BF6">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center"/>
            <w:hideMark/>
          </w:tcPr>
          <w:p w14:paraId="1088BA92"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t>Dimensión</w:t>
            </w:r>
          </w:p>
        </w:tc>
        <w:tc>
          <w:tcPr>
            <w:tcW w:w="3543"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center"/>
            <w:hideMark/>
          </w:tcPr>
          <w:p w14:paraId="686A3F8A"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t>Indicador</w:t>
            </w:r>
          </w:p>
        </w:tc>
        <w:tc>
          <w:tcPr>
            <w:tcW w:w="1560"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4F147C6E"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t>Ponderador</w:t>
            </w:r>
          </w:p>
          <w:p w14:paraId="5FF665FF"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lastRenderedPageBreak/>
              <w:t>Dimensión</w:t>
            </w:r>
          </w:p>
        </w:tc>
        <w:tc>
          <w:tcPr>
            <w:tcW w:w="1559" w:type="dxa"/>
            <w:tcBorders>
              <w:top w:val="single" w:sz="4" w:space="0" w:color="auto"/>
              <w:left w:val="single" w:sz="4" w:space="0" w:color="auto"/>
              <w:bottom w:val="single" w:sz="4" w:space="0" w:color="auto"/>
              <w:right w:val="single" w:sz="4" w:space="0" w:color="auto"/>
            </w:tcBorders>
            <w:shd w:val="clear" w:color="auto" w:fill="1F3864" w:themeFill="accent1" w:themeFillShade="80"/>
            <w:noWrap/>
            <w:vAlign w:val="center"/>
            <w:hideMark/>
          </w:tcPr>
          <w:p w14:paraId="0AB3BFE8"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lastRenderedPageBreak/>
              <w:t>Ponderador</w:t>
            </w:r>
          </w:p>
          <w:p w14:paraId="2CD5D9B6" w14:textId="77777777" w:rsidR="00817DB4" w:rsidRPr="009B4D5C" w:rsidRDefault="00817DB4" w:rsidP="00817DB4">
            <w:pPr>
              <w:jc w:val="center"/>
              <w:rPr>
                <w:b/>
                <w:bCs/>
                <w:i/>
                <w:iCs/>
                <w:color w:val="FFFFFF" w:themeColor="background1"/>
                <w:sz w:val="22"/>
                <w:szCs w:val="22"/>
              </w:rPr>
            </w:pPr>
            <w:r w:rsidRPr="009B4D5C">
              <w:rPr>
                <w:b/>
                <w:bCs/>
                <w:i/>
                <w:iCs/>
                <w:color w:val="FFFFFF" w:themeColor="background1"/>
                <w:sz w:val="22"/>
                <w:szCs w:val="22"/>
              </w:rPr>
              <w:lastRenderedPageBreak/>
              <w:t>Indicador</w:t>
            </w:r>
          </w:p>
        </w:tc>
      </w:tr>
      <w:tr w:rsidR="00817DB4" w:rsidRPr="009B4D5C" w14:paraId="521A8E7E" w14:textId="77777777" w:rsidTr="002F2BF6">
        <w:trPr>
          <w:trHeight w:val="300"/>
        </w:trPr>
        <w:tc>
          <w:tcPr>
            <w:tcW w:w="1838" w:type="dxa"/>
            <w:vMerge w:val="restart"/>
            <w:tcBorders>
              <w:top w:val="single" w:sz="4" w:space="0" w:color="auto"/>
              <w:left w:val="single" w:sz="4" w:space="0" w:color="auto"/>
              <w:right w:val="single" w:sz="4" w:space="0" w:color="auto"/>
            </w:tcBorders>
            <w:noWrap/>
            <w:vAlign w:val="center"/>
            <w:hideMark/>
          </w:tcPr>
          <w:p w14:paraId="6522BEB9" w14:textId="77777777" w:rsidR="00817DB4" w:rsidRPr="009B4D5C" w:rsidRDefault="00817DB4" w:rsidP="00817DB4">
            <w:pPr>
              <w:jc w:val="center"/>
              <w:rPr>
                <w:i/>
                <w:iCs/>
                <w:sz w:val="22"/>
                <w:szCs w:val="22"/>
              </w:rPr>
            </w:pPr>
            <w:r w:rsidRPr="009B4D5C">
              <w:rPr>
                <w:i/>
                <w:iCs/>
                <w:sz w:val="22"/>
                <w:szCs w:val="22"/>
              </w:rPr>
              <w:lastRenderedPageBreak/>
              <w:t>Tamaño</w:t>
            </w:r>
          </w:p>
        </w:tc>
        <w:tc>
          <w:tcPr>
            <w:tcW w:w="3543" w:type="dxa"/>
            <w:tcBorders>
              <w:top w:val="single" w:sz="4" w:space="0" w:color="auto"/>
              <w:left w:val="single" w:sz="4" w:space="0" w:color="auto"/>
              <w:bottom w:val="single" w:sz="4" w:space="0" w:color="auto"/>
              <w:right w:val="single" w:sz="4" w:space="0" w:color="auto"/>
            </w:tcBorders>
            <w:noWrap/>
            <w:hideMark/>
          </w:tcPr>
          <w:p w14:paraId="00FBAE8E" w14:textId="77777777" w:rsidR="00817DB4" w:rsidRPr="009B4D5C" w:rsidRDefault="00817DB4" w:rsidP="00817DB4">
            <w:pPr>
              <w:jc w:val="center"/>
              <w:rPr>
                <w:i/>
                <w:iCs/>
                <w:sz w:val="22"/>
                <w:szCs w:val="22"/>
              </w:rPr>
            </w:pPr>
            <w:r w:rsidRPr="009B4D5C">
              <w:rPr>
                <w:i/>
                <w:iCs/>
                <w:sz w:val="22"/>
                <w:szCs w:val="22"/>
              </w:rPr>
              <w:t>Activos administrados propiedad de terceros</w:t>
            </w:r>
          </w:p>
        </w:tc>
        <w:tc>
          <w:tcPr>
            <w:tcW w:w="1560" w:type="dxa"/>
            <w:vMerge w:val="restart"/>
            <w:tcBorders>
              <w:top w:val="single" w:sz="4" w:space="0" w:color="auto"/>
              <w:left w:val="single" w:sz="4" w:space="0" w:color="auto"/>
              <w:right w:val="single" w:sz="4" w:space="0" w:color="auto"/>
            </w:tcBorders>
            <w:vAlign w:val="center"/>
          </w:tcPr>
          <w:p w14:paraId="52642DEA" w14:textId="77777777" w:rsidR="00817DB4" w:rsidRPr="009B4D5C" w:rsidRDefault="00817DB4" w:rsidP="00817DB4">
            <w:pPr>
              <w:jc w:val="center"/>
              <w:rPr>
                <w:i/>
                <w:iCs/>
                <w:sz w:val="22"/>
                <w:szCs w:val="22"/>
              </w:rPr>
            </w:pPr>
            <w:r w:rsidRPr="009B4D5C">
              <w:rPr>
                <w:i/>
                <w:iCs/>
                <w:sz w:val="22"/>
                <w:szCs w:val="22"/>
              </w:rPr>
              <w:t>25%</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84249EA" w14:textId="77777777" w:rsidR="00817DB4" w:rsidRPr="009B4D5C" w:rsidRDefault="00817DB4" w:rsidP="00817DB4">
            <w:pPr>
              <w:jc w:val="center"/>
              <w:rPr>
                <w:i/>
                <w:iCs/>
                <w:sz w:val="22"/>
                <w:szCs w:val="22"/>
              </w:rPr>
            </w:pPr>
            <w:r w:rsidRPr="009B4D5C">
              <w:rPr>
                <w:i/>
                <w:iCs/>
                <w:sz w:val="22"/>
                <w:szCs w:val="22"/>
              </w:rPr>
              <w:t>12,5%</w:t>
            </w:r>
          </w:p>
        </w:tc>
      </w:tr>
      <w:tr w:rsidR="00817DB4" w:rsidRPr="009B4D5C" w14:paraId="13D7C1A3" w14:textId="77777777" w:rsidTr="002F2BF6">
        <w:trPr>
          <w:trHeight w:val="300"/>
        </w:trPr>
        <w:tc>
          <w:tcPr>
            <w:tcW w:w="1838" w:type="dxa"/>
            <w:vMerge/>
            <w:tcBorders>
              <w:left w:val="single" w:sz="4" w:space="0" w:color="auto"/>
              <w:bottom w:val="single" w:sz="4" w:space="0" w:color="auto"/>
              <w:right w:val="single" w:sz="4" w:space="0" w:color="auto"/>
            </w:tcBorders>
            <w:noWrap/>
            <w:vAlign w:val="center"/>
          </w:tcPr>
          <w:p w14:paraId="5FD9549C" w14:textId="77777777" w:rsidR="00817DB4" w:rsidRPr="009B4D5C" w:rsidRDefault="00817DB4" w:rsidP="00817DB4">
            <w:pPr>
              <w:jc w:val="center"/>
              <w:rPr>
                <w:i/>
                <w:iCs/>
                <w:sz w:val="22"/>
                <w:szCs w:val="22"/>
              </w:rPr>
            </w:pPr>
          </w:p>
        </w:tc>
        <w:tc>
          <w:tcPr>
            <w:tcW w:w="3543" w:type="dxa"/>
            <w:tcBorders>
              <w:top w:val="single" w:sz="4" w:space="0" w:color="auto"/>
              <w:left w:val="single" w:sz="4" w:space="0" w:color="auto"/>
              <w:bottom w:val="single" w:sz="4" w:space="0" w:color="auto"/>
              <w:right w:val="single" w:sz="4" w:space="0" w:color="auto"/>
            </w:tcBorders>
            <w:noWrap/>
          </w:tcPr>
          <w:p w14:paraId="2F8FC089" w14:textId="77777777" w:rsidR="00817DB4" w:rsidRPr="009B4D5C" w:rsidRDefault="00817DB4" w:rsidP="00817DB4">
            <w:pPr>
              <w:jc w:val="center"/>
              <w:rPr>
                <w:i/>
                <w:iCs/>
                <w:sz w:val="22"/>
                <w:szCs w:val="22"/>
              </w:rPr>
            </w:pPr>
            <w:r w:rsidRPr="009B4D5C">
              <w:rPr>
                <w:i/>
                <w:iCs/>
                <w:sz w:val="22"/>
                <w:szCs w:val="22"/>
              </w:rPr>
              <w:t>Cantidad de afiliados y pensionados totales</w:t>
            </w:r>
          </w:p>
        </w:tc>
        <w:tc>
          <w:tcPr>
            <w:tcW w:w="1560" w:type="dxa"/>
            <w:vMerge/>
            <w:tcBorders>
              <w:left w:val="single" w:sz="4" w:space="0" w:color="auto"/>
              <w:bottom w:val="single" w:sz="4" w:space="0" w:color="auto"/>
              <w:right w:val="single" w:sz="4" w:space="0" w:color="auto"/>
            </w:tcBorders>
            <w:vAlign w:val="center"/>
          </w:tcPr>
          <w:p w14:paraId="38DA15C5" w14:textId="77777777" w:rsidR="00817DB4" w:rsidRPr="009B4D5C" w:rsidRDefault="00817DB4" w:rsidP="00817DB4">
            <w:pPr>
              <w:jc w:val="center"/>
              <w:rPr>
                <w:i/>
                <w:iCs/>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218203C8" w14:textId="77777777" w:rsidR="00817DB4" w:rsidRPr="009B4D5C" w:rsidRDefault="00817DB4" w:rsidP="00817DB4">
            <w:pPr>
              <w:jc w:val="center"/>
              <w:rPr>
                <w:i/>
                <w:iCs/>
                <w:sz w:val="22"/>
                <w:szCs w:val="22"/>
              </w:rPr>
            </w:pPr>
            <w:r w:rsidRPr="009B4D5C">
              <w:rPr>
                <w:i/>
                <w:iCs/>
                <w:sz w:val="22"/>
                <w:szCs w:val="22"/>
              </w:rPr>
              <w:t>12,5%</w:t>
            </w:r>
          </w:p>
        </w:tc>
      </w:tr>
      <w:tr w:rsidR="00817DB4" w:rsidRPr="009B4D5C" w14:paraId="4A87596D" w14:textId="77777777" w:rsidTr="002F2BF6">
        <w:trPr>
          <w:trHeight w:val="300"/>
        </w:trPr>
        <w:tc>
          <w:tcPr>
            <w:tcW w:w="1838" w:type="dxa"/>
            <w:vMerge w:val="restart"/>
            <w:tcBorders>
              <w:top w:val="single" w:sz="4" w:space="0" w:color="auto"/>
              <w:left w:val="single" w:sz="4" w:space="0" w:color="auto"/>
              <w:right w:val="single" w:sz="4" w:space="0" w:color="auto"/>
            </w:tcBorders>
            <w:noWrap/>
            <w:vAlign w:val="center"/>
            <w:hideMark/>
          </w:tcPr>
          <w:p w14:paraId="572C439C" w14:textId="77777777" w:rsidR="00817DB4" w:rsidRPr="009B4D5C" w:rsidRDefault="00817DB4" w:rsidP="00817DB4">
            <w:pPr>
              <w:jc w:val="center"/>
              <w:rPr>
                <w:i/>
                <w:iCs/>
                <w:sz w:val="22"/>
                <w:szCs w:val="22"/>
              </w:rPr>
            </w:pPr>
            <w:r w:rsidRPr="009B4D5C">
              <w:rPr>
                <w:i/>
                <w:iCs/>
                <w:sz w:val="22"/>
                <w:szCs w:val="22"/>
              </w:rPr>
              <w:t>Interconexión</w:t>
            </w:r>
          </w:p>
        </w:tc>
        <w:tc>
          <w:tcPr>
            <w:tcW w:w="3543" w:type="dxa"/>
            <w:tcBorders>
              <w:top w:val="single" w:sz="4" w:space="0" w:color="auto"/>
              <w:left w:val="single" w:sz="4" w:space="0" w:color="auto"/>
              <w:bottom w:val="single" w:sz="4" w:space="0" w:color="auto"/>
              <w:right w:val="single" w:sz="4" w:space="0" w:color="auto"/>
            </w:tcBorders>
            <w:noWrap/>
            <w:hideMark/>
          </w:tcPr>
          <w:p w14:paraId="582A96C1" w14:textId="77777777" w:rsidR="00817DB4" w:rsidRPr="009B4D5C" w:rsidRDefault="00817DB4" w:rsidP="00817DB4">
            <w:pPr>
              <w:jc w:val="center"/>
              <w:rPr>
                <w:i/>
                <w:iCs/>
                <w:sz w:val="22"/>
                <w:szCs w:val="22"/>
              </w:rPr>
            </w:pPr>
            <w:r w:rsidRPr="009B4D5C">
              <w:rPr>
                <w:i/>
                <w:iCs/>
                <w:sz w:val="22"/>
                <w:szCs w:val="22"/>
              </w:rPr>
              <w:t>Cantidad de afiliados y pensionados totales</w:t>
            </w:r>
          </w:p>
        </w:tc>
        <w:tc>
          <w:tcPr>
            <w:tcW w:w="1560" w:type="dxa"/>
            <w:vMerge w:val="restart"/>
            <w:tcBorders>
              <w:top w:val="single" w:sz="4" w:space="0" w:color="auto"/>
              <w:left w:val="single" w:sz="4" w:space="0" w:color="auto"/>
              <w:right w:val="single" w:sz="4" w:space="0" w:color="auto"/>
            </w:tcBorders>
            <w:vAlign w:val="center"/>
          </w:tcPr>
          <w:p w14:paraId="74E65735" w14:textId="77777777" w:rsidR="00817DB4" w:rsidRPr="009B4D5C" w:rsidRDefault="00817DB4" w:rsidP="00817DB4">
            <w:pPr>
              <w:jc w:val="center"/>
              <w:rPr>
                <w:i/>
                <w:iCs/>
                <w:sz w:val="22"/>
                <w:szCs w:val="22"/>
              </w:rPr>
            </w:pPr>
            <w:r w:rsidRPr="009B4D5C">
              <w:rPr>
                <w:i/>
                <w:iCs/>
                <w:sz w:val="22"/>
                <w:szCs w:val="22"/>
              </w:rPr>
              <w:t>25%</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3AC7813" w14:textId="77777777" w:rsidR="00817DB4" w:rsidRPr="009B4D5C" w:rsidRDefault="00817DB4" w:rsidP="00817DB4">
            <w:pPr>
              <w:jc w:val="center"/>
              <w:rPr>
                <w:i/>
                <w:iCs/>
                <w:sz w:val="22"/>
                <w:szCs w:val="22"/>
              </w:rPr>
            </w:pPr>
            <w:r w:rsidRPr="009B4D5C">
              <w:rPr>
                <w:i/>
                <w:iCs/>
                <w:sz w:val="22"/>
                <w:szCs w:val="22"/>
              </w:rPr>
              <w:t>8,33%</w:t>
            </w:r>
          </w:p>
        </w:tc>
      </w:tr>
      <w:tr w:rsidR="00817DB4" w:rsidRPr="009B4D5C" w14:paraId="30EEE891" w14:textId="77777777" w:rsidTr="002F2BF6">
        <w:trPr>
          <w:trHeight w:val="300"/>
        </w:trPr>
        <w:tc>
          <w:tcPr>
            <w:tcW w:w="1838" w:type="dxa"/>
            <w:vMerge/>
            <w:tcBorders>
              <w:left w:val="single" w:sz="4" w:space="0" w:color="auto"/>
              <w:right w:val="single" w:sz="4" w:space="0" w:color="auto"/>
            </w:tcBorders>
            <w:vAlign w:val="center"/>
            <w:hideMark/>
          </w:tcPr>
          <w:p w14:paraId="457E9359" w14:textId="77777777" w:rsidR="00817DB4" w:rsidRPr="009B4D5C" w:rsidRDefault="00817DB4" w:rsidP="00817DB4">
            <w:pPr>
              <w:jc w:val="center"/>
              <w:rPr>
                <w:i/>
                <w:iCs/>
                <w:sz w:val="22"/>
                <w:szCs w:val="22"/>
              </w:rPr>
            </w:pPr>
          </w:p>
        </w:tc>
        <w:tc>
          <w:tcPr>
            <w:tcW w:w="3543" w:type="dxa"/>
            <w:tcBorders>
              <w:top w:val="single" w:sz="4" w:space="0" w:color="auto"/>
              <w:left w:val="single" w:sz="4" w:space="0" w:color="auto"/>
              <w:bottom w:val="single" w:sz="4" w:space="0" w:color="auto"/>
              <w:right w:val="single" w:sz="4" w:space="0" w:color="auto"/>
            </w:tcBorders>
            <w:noWrap/>
            <w:hideMark/>
          </w:tcPr>
          <w:p w14:paraId="23E794A0" w14:textId="77777777" w:rsidR="00817DB4" w:rsidRPr="009B4D5C" w:rsidRDefault="00817DB4" w:rsidP="00817DB4">
            <w:pPr>
              <w:jc w:val="center"/>
              <w:rPr>
                <w:i/>
                <w:iCs/>
                <w:sz w:val="22"/>
                <w:szCs w:val="22"/>
              </w:rPr>
            </w:pPr>
            <w:r w:rsidRPr="009B4D5C">
              <w:rPr>
                <w:i/>
                <w:iCs/>
                <w:sz w:val="22"/>
                <w:szCs w:val="22"/>
              </w:rPr>
              <w:t>Inversión en deuda a corto plazo con entidades del resto del sector financiero</w:t>
            </w:r>
          </w:p>
        </w:tc>
        <w:tc>
          <w:tcPr>
            <w:tcW w:w="1560" w:type="dxa"/>
            <w:vMerge/>
            <w:tcBorders>
              <w:left w:val="single" w:sz="4" w:space="0" w:color="auto"/>
              <w:right w:val="single" w:sz="4" w:space="0" w:color="auto"/>
            </w:tcBorders>
            <w:vAlign w:val="center"/>
          </w:tcPr>
          <w:p w14:paraId="063D890F" w14:textId="77777777" w:rsidR="00817DB4" w:rsidRPr="009B4D5C" w:rsidRDefault="00817DB4" w:rsidP="00817DB4">
            <w:pPr>
              <w:jc w:val="center"/>
              <w:rPr>
                <w:i/>
                <w:iCs/>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1BFAA24" w14:textId="77777777" w:rsidR="00817DB4" w:rsidRPr="009B4D5C" w:rsidRDefault="00817DB4" w:rsidP="00817DB4">
            <w:pPr>
              <w:jc w:val="center"/>
              <w:rPr>
                <w:i/>
                <w:iCs/>
                <w:sz w:val="22"/>
                <w:szCs w:val="22"/>
              </w:rPr>
            </w:pPr>
            <w:r w:rsidRPr="009B4D5C">
              <w:rPr>
                <w:i/>
                <w:iCs/>
                <w:sz w:val="22"/>
                <w:szCs w:val="22"/>
              </w:rPr>
              <w:t>8,33%</w:t>
            </w:r>
          </w:p>
        </w:tc>
      </w:tr>
      <w:tr w:rsidR="00817DB4" w:rsidRPr="009B4D5C" w14:paraId="04BD5FF7" w14:textId="77777777" w:rsidTr="002F2BF6">
        <w:trPr>
          <w:trHeight w:val="300"/>
        </w:trPr>
        <w:tc>
          <w:tcPr>
            <w:tcW w:w="1838" w:type="dxa"/>
            <w:vMerge/>
            <w:tcBorders>
              <w:left w:val="single" w:sz="4" w:space="0" w:color="auto"/>
              <w:bottom w:val="single" w:sz="4" w:space="0" w:color="auto"/>
              <w:right w:val="single" w:sz="4" w:space="0" w:color="auto"/>
            </w:tcBorders>
            <w:vAlign w:val="center"/>
          </w:tcPr>
          <w:p w14:paraId="585CD313" w14:textId="77777777" w:rsidR="00817DB4" w:rsidRPr="009B4D5C" w:rsidRDefault="00817DB4" w:rsidP="00817DB4">
            <w:pPr>
              <w:jc w:val="center"/>
              <w:rPr>
                <w:i/>
                <w:iCs/>
                <w:sz w:val="22"/>
                <w:szCs w:val="22"/>
              </w:rPr>
            </w:pPr>
          </w:p>
        </w:tc>
        <w:tc>
          <w:tcPr>
            <w:tcW w:w="3543" w:type="dxa"/>
            <w:tcBorders>
              <w:top w:val="single" w:sz="4" w:space="0" w:color="auto"/>
              <w:left w:val="single" w:sz="4" w:space="0" w:color="auto"/>
              <w:bottom w:val="single" w:sz="4" w:space="0" w:color="auto"/>
              <w:right w:val="single" w:sz="4" w:space="0" w:color="auto"/>
            </w:tcBorders>
            <w:noWrap/>
          </w:tcPr>
          <w:p w14:paraId="7C1A6CEB" w14:textId="77777777" w:rsidR="00817DB4" w:rsidRPr="009B4D5C" w:rsidRDefault="00817DB4" w:rsidP="00817DB4">
            <w:pPr>
              <w:jc w:val="center"/>
              <w:rPr>
                <w:i/>
                <w:iCs/>
                <w:sz w:val="22"/>
                <w:szCs w:val="22"/>
              </w:rPr>
            </w:pPr>
            <w:r w:rsidRPr="009B4D5C">
              <w:rPr>
                <w:i/>
                <w:iCs/>
                <w:sz w:val="22"/>
                <w:szCs w:val="22"/>
              </w:rPr>
              <w:t>Participación en fondos de inversión</w:t>
            </w:r>
          </w:p>
        </w:tc>
        <w:tc>
          <w:tcPr>
            <w:tcW w:w="1560" w:type="dxa"/>
            <w:vMerge/>
            <w:tcBorders>
              <w:left w:val="single" w:sz="4" w:space="0" w:color="auto"/>
              <w:bottom w:val="single" w:sz="4" w:space="0" w:color="auto"/>
              <w:right w:val="single" w:sz="4" w:space="0" w:color="auto"/>
            </w:tcBorders>
            <w:vAlign w:val="center"/>
          </w:tcPr>
          <w:p w14:paraId="1CD17E97" w14:textId="77777777" w:rsidR="00817DB4" w:rsidRPr="009B4D5C" w:rsidRDefault="00817DB4" w:rsidP="00817DB4">
            <w:pPr>
              <w:jc w:val="center"/>
              <w:rPr>
                <w:i/>
                <w:iCs/>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2BF22D37" w14:textId="77777777" w:rsidR="00817DB4" w:rsidRPr="009B4D5C" w:rsidRDefault="00817DB4" w:rsidP="00817DB4">
            <w:pPr>
              <w:jc w:val="center"/>
              <w:rPr>
                <w:i/>
                <w:iCs/>
                <w:sz w:val="22"/>
                <w:szCs w:val="22"/>
              </w:rPr>
            </w:pPr>
            <w:r w:rsidRPr="009B4D5C">
              <w:rPr>
                <w:i/>
                <w:iCs/>
                <w:sz w:val="22"/>
                <w:szCs w:val="22"/>
              </w:rPr>
              <w:t>8,33%</w:t>
            </w:r>
          </w:p>
        </w:tc>
      </w:tr>
      <w:tr w:rsidR="00817DB4" w:rsidRPr="009B4D5C" w14:paraId="3E72D178" w14:textId="77777777" w:rsidTr="002F2BF6">
        <w:trPr>
          <w:trHeight w:val="300"/>
        </w:trPr>
        <w:tc>
          <w:tcPr>
            <w:tcW w:w="1838" w:type="dxa"/>
            <w:vMerge w:val="restart"/>
            <w:tcBorders>
              <w:top w:val="single" w:sz="4" w:space="0" w:color="auto"/>
              <w:left w:val="single" w:sz="4" w:space="0" w:color="auto"/>
              <w:bottom w:val="single" w:sz="4" w:space="0" w:color="auto"/>
              <w:right w:val="single" w:sz="4" w:space="0" w:color="auto"/>
            </w:tcBorders>
            <w:noWrap/>
            <w:vAlign w:val="center"/>
            <w:hideMark/>
          </w:tcPr>
          <w:p w14:paraId="7017370E" w14:textId="77777777" w:rsidR="00817DB4" w:rsidRPr="009B4D5C" w:rsidRDefault="00817DB4" w:rsidP="00817DB4">
            <w:pPr>
              <w:jc w:val="center"/>
              <w:rPr>
                <w:i/>
                <w:iCs/>
                <w:sz w:val="22"/>
                <w:szCs w:val="22"/>
              </w:rPr>
            </w:pPr>
            <w:r w:rsidRPr="009B4D5C">
              <w:rPr>
                <w:i/>
                <w:iCs/>
                <w:sz w:val="22"/>
                <w:szCs w:val="22"/>
              </w:rPr>
              <w:t>Complejidad</w:t>
            </w:r>
          </w:p>
        </w:tc>
        <w:tc>
          <w:tcPr>
            <w:tcW w:w="3543" w:type="dxa"/>
            <w:tcBorders>
              <w:top w:val="single" w:sz="4" w:space="0" w:color="auto"/>
              <w:left w:val="single" w:sz="4" w:space="0" w:color="auto"/>
              <w:bottom w:val="single" w:sz="4" w:space="0" w:color="auto"/>
              <w:right w:val="single" w:sz="4" w:space="0" w:color="auto"/>
            </w:tcBorders>
            <w:noWrap/>
            <w:hideMark/>
          </w:tcPr>
          <w:p w14:paraId="45A81A5B" w14:textId="77777777" w:rsidR="00817DB4" w:rsidRPr="009B4D5C" w:rsidRDefault="00817DB4" w:rsidP="00817DB4">
            <w:pPr>
              <w:jc w:val="center"/>
              <w:rPr>
                <w:i/>
                <w:iCs/>
                <w:sz w:val="22"/>
                <w:szCs w:val="22"/>
              </w:rPr>
            </w:pPr>
            <w:r w:rsidRPr="009B4D5C">
              <w:rPr>
                <w:i/>
                <w:iCs/>
                <w:sz w:val="22"/>
                <w:szCs w:val="22"/>
              </w:rPr>
              <w:t>Cantidad de fondos administrados</w:t>
            </w:r>
          </w:p>
        </w:tc>
        <w:tc>
          <w:tcPr>
            <w:tcW w:w="1560" w:type="dxa"/>
            <w:vMerge w:val="restart"/>
            <w:tcBorders>
              <w:top w:val="single" w:sz="4" w:space="0" w:color="auto"/>
              <w:left w:val="single" w:sz="4" w:space="0" w:color="auto"/>
              <w:right w:val="single" w:sz="4" w:space="0" w:color="auto"/>
            </w:tcBorders>
            <w:vAlign w:val="center"/>
          </w:tcPr>
          <w:p w14:paraId="5D080214" w14:textId="77777777" w:rsidR="00817DB4" w:rsidRPr="009B4D5C" w:rsidRDefault="00817DB4" w:rsidP="00817DB4">
            <w:pPr>
              <w:jc w:val="center"/>
              <w:rPr>
                <w:i/>
                <w:iCs/>
                <w:sz w:val="22"/>
                <w:szCs w:val="22"/>
              </w:rPr>
            </w:pPr>
            <w:r w:rsidRPr="009B4D5C">
              <w:rPr>
                <w:i/>
                <w:iCs/>
                <w:sz w:val="22"/>
                <w:szCs w:val="22"/>
              </w:rPr>
              <w:t>25%</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7449E1F" w14:textId="77777777" w:rsidR="00817DB4" w:rsidRPr="009B4D5C" w:rsidRDefault="00817DB4" w:rsidP="00817DB4">
            <w:pPr>
              <w:jc w:val="center"/>
              <w:rPr>
                <w:i/>
                <w:iCs/>
                <w:sz w:val="22"/>
                <w:szCs w:val="22"/>
              </w:rPr>
            </w:pPr>
            <w:r w:rsidRPr="009B4D5C">
              <w:rPr>
                <w:i/>
                <w:iCs/>
                <w:sz w:val="22"/>
                <w:szCs w:val="22"/>
              </w:rPr>
              <w:t>8,33%</w:t>
            </w:r>
          </w:p>
        </w:tc>
      </w:tr>
      <w:tr w:rsidR="00817DB4" w:rsidRPr="009B4D5C" w14:paraId="46FCACAA" w14:textId="77777777" w:rsidTr="002F2BF6">
        <w:trPr>
          <w:trHeight w:val="300"/>
        </w:trPr>
        <w:tc>
          <w:tcPr>
            <w:tcW w:w="1838" w:type="dxa"/>
            <w:vMerge/>
            <w:tcBorders>
              <w:top w:val="single" w:sz="4" w:space="0" w:color="auto"/>
              <w:left w:val="single" w:sz="4" w:space="0" w:color="auto"/>
              <w:bottom w:val="single" w:sz="4" w:space="0" w:color="auto"/>
              <w:right w:val="single" w:sz="4" w:space="0" w:color="auto"/>
            </w:tcBorders>
            <w:noWrap/>
            <w:vAlign w:val="center"/>
          </w:tcPr>
          <w:p w14:paraId="55DACA00" w14:textId="77777777" w:rsidR="00817DB4" w:rsidRPr="009B4D5C" w:rsidRDefault="00817DB4" w:rsidP="00817DB4">
            <w:pPr>
              <w:jc w:val="center"/>
              <w:rPr>
                <w:i/>
                <w:iCs/>
                <w:sz w:val="22"/>
                <w:szCs w:val="22"/>
              </w:rPr>
            </w:pPr>
          </w:p>
        </w:tc>
        <w:tc>
          <w:tcPr>
            <w:tcW w:w="3543" w:type="dxa"/>
            <w:tcBorders>
              <w:top w:val="single" w:sz="4" w:space="0" w:color="auto"/>
              <w:left w:val="single" w:sz="4" w:space="0" w:color="auto"/>
              <w:bottom w:val="single" w:sz="4" w:space="0" w:color="auto"/>
              <w:right w:val="single" w:sz="4" w:space="0" w:color="auto"/>
            </w:tcBorders>
            <w:noWrap/>
          </w:tcPr>
          <w:p w14:paraId="458440EF" w14:textId="77777777" w:rsidR="00817DB4" w:rsidRPr="009B4D5C" w:rsidRDefault="00817DB4" w:rsidP="00817DB4">
            <w:pPr>
              <w:jc w:val="center"/>
              <w:rPr>
                <w:i/>
                <w:iCs/>
                <w:sz w:val="22"/>
                <w:szCs w:val="22"/>
              </w:rPr>
            </w:pPr>
            <w:r w:rsidRPr="009B4D5C">
              <w:rPr>
                <w:i/>
                <w:iCs/>
                <w:sz w:val="22"/>
                <w:szCs w:val="22"/>
              </w:rPr>
              <w:t>Activos en inversiones internacionales</w:t>
            </w:r>
          </w:p>
        </w:tc>
        <w:tc>
          <w:tcPr>
            <w:tcW w:w="1560" w:type="dxa"/>
            <w:vMerge/>
            <w:tcBorders>
              <w:left w:val="single" w:sz="4" w:space="0" w:color="auto"/>
              <w:right w:val="single" w:sz="4" w:space="0" w:color="auto"/>
            </w:tcBorders>
            <w:vAlign w:val="center"/>
          </w:tcPr>
          <w:p w14:paraId="7DBBEFFB" w14:textId="77777777" w:rsidR="00817DB4" w:rsidRPr="009B4D5C" w:rsidRDefault="00817DB4" w:rsidP="00817DB4">
            <w:pPr>
              <w:jc w:val="center"/>
              <w:rPr>
                <w:i/>
                <w:iCs/>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2DF26440" w14:textId="77777777" w:rsidR="00817DB4" w:rsidRPr="009B4D5C" w:rsidRDefault="00817DB4" w:rsidP="00817DB4">
            <w:pPr>
              <w:jc w:val="center"/>
              <w:rPr>
                <w:i/>
                <w:iCs/>
                <w:sz w:val="22"/>
                <w:szCs w:val="22"/>
              </w:rPr>
            </w:pPr>
            <w:r w:rsidRPr="009B4D5C">
              <w:rPr>
                <w:i/>
                <w:iCs/>
                <w:sz w:val="22"/>
                <w:szCs w:val="22"/>
              </w:rPr>
              <w:t>8,33%</w:t>
            </w:r>
          </w:p>
        </w:tc>
      </w:tr>
      <w:tr w:rsidR="00817DB4" w:rsidRPr="009B4D5C" w14:paraId="50841BCC" w14:textId="77777777" w:rsidTr="002F2BF6">
        <w:trPr>
          <w:trHeight w:val="61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678BF2F" w14:textId="77777777" w:rsidR="00817DB4" w:rsidRPr="009B4D5C" w:rsidRDefault="00817DB4" w:rsidP="00817DB4">
            <w:pPr>
              <w:jc w:val="center"/>
              <w:rPr>
                <w:i/>
                <w:iCs/>
                <w:sz w:val="22"/>
                <w:szCs w:val="22"/>
              </w:rPr>
            </w:pPr>
          </w:p>
        </w:tc>
        <w:tc>
          <w:tcPr>
            <w:tcW w:w="3543" w:type="dxa"/>
            <w:tcBorders>
              <w:top w:val="single" w:sz="4" w:space="0" w:color="auto"/>
              <w:left w:val="single" w:sz="4" w:space="0" w:color="auto"/>
              <w:right w:val="single" w:sz="4" w:space="0" w:color="auto"/>
            </w:tcBorders>
            <w:noWrap/>
            <w:hideMark/>
          </w:tcPr>
          <w:p w14:paraId="414B6E94" w14:textId="77777777" w:rsidR="00817DB4" w:rsidRPr="009B4D5C" w:rsidRDefault="00817DB4" w:rsidP="00817DB4">
            <w:pPr>
              <w:jc w:val="center"/>
              <w:rPr>
                <w:i/>
                <w:iCs/>
                <w:sz w:val="22"/>
                <w:szCs w:val="22"/>
              </w:rPr>
            </w:pPr>
            <w:r w:rsidRPr="009B4D5C">
              <w:rPr>
                <w:i/>
                <w:iCs/>
                <w:sz w:val="22"/>
                <w:szCs w:val="22"/>
              </w:rPr>
              <w:t>Cantidad de gestores y emisores</w:t>
            </w:r>
          </w:p>
        </w:tc>
        <w:tc>
          <w:tcPr>
            <w:tcW w:w="1560" w:type="dxa"/>
            <w:vMerge/>
            <w:tcBorders>
              <w:left w:val="single" w:sz="4" w:space="0" w:color="auto"/>
              <w:right w:val="single" w:sz="4" w:space="0" w:color="auto"/>
            </w:tcBorders>
            <w:vAlign w:val="center"/>
          </w:tcPr>
          <w:p w14:paraId="05DDEAF4" w14:textId="77777777" w:rsidR="00817DB4" w:rsidRPr="009B4D5C" w:rsidRDefault="00817DB4" w:rsidP="00817DB4">
            <w:pPr>
              <w:jc w:val="center"/>
              <w:rPr>
                <w:i/>
                <w:iCs/>
                <w:sz w:val="22"/>
                <w:szCs w:val="22"/>
              </w:rPr>
            </w:pPr>
          </w:p>
        </w:tc>
        <w:tc>
          <w:tcPr>
            <w:tcW w:w="1559" w:type="dxa"/>
            <w:tcBorders>
              <w:top w:val="single" w:sz="4" w:space="0" w:color="auto"/>
              <w:left w:val="single" w:sz="4" w:space="0" w:color="auto"/>
              <w:right w:val="single" w:sz="4" w:space="0" w:color="auto"/>
            </w:tcBorders>
            <w:noWrap/>
            <w:vAlign w:val="center"/>
            <w:hideMark/>
          </w:tcPr>
          <w:p w14:paraId="2D8B352F" w14:textId="77777777" w:rsidR="00817DB4" w:rsidRPr="009B4D5C" w:rsidRDefault="00817DB4" w:rsidP="00817DB4">
            <w:pPr>
              <w:jc w:val="center"/>
              <w:rPr>
                <w:i/>
                <w:iCs/>
                <w:sz w:val="22"/>
                <w:szCs w:val="22"/>
              </w:rPr>
            </w:pPr>
            <w:r w:rsidRPr="009B4D5C">
              <w:rPr>
                <w:i/>
                <w:iCs/>
                <w:sz w:val="22"/>
                <w:szCs w:val="22"/>
              </w:rPr>
              <w:t>8,33%</w:t>
            </w:r>
          </w:p>
        </w:tc>
      </w:tr>
      <w:tr w:rsidR="00817DB4" w:rsidRPr="009B4D5C" w14:paraId="5136720C" w14:textId="77777777" w:rsidTr="002F2BF6">
        <w:trPr>
          <w:trHeight w:val="300"/>
        </w:trPr>
        <w:tc>
          <w:tcPr>
            <w:tcW w:w="1838" w:type="dxa"/>
            <w:vMerge w:val="restart"/>
            <w:tcBorders>
              <w:top w:val="single" w:sz="4" w:space="0" w:color="auto"/>
              <w:left w:val="single" w:sz="4" w:space="0" w:color="auto"/>
              <w:bottom w:val="single" w:sz="4" w:space="0" w:color="auto"/>
              <w:right w:val="single" w:sz="4" w:space="0" w:color="auto"/>
            </w:tcBorders>
            <w:noWrap/>
            <w:vAlign w:val="center"/>
            <w:hideMark/>
          </w:tcPr>
          <w:p w14:paraId="772B4523" w14:textId="77777777" w:rsidR="00817DB4" w:rsidRPr="009B4D5C" w:rsidRDefault="00817DB4" w:rsidP="00817DB4">
            <w:pPr>
              <w:jc w:val="center"/>
              <w:rPr>
                <w:i/>
                <w:iCs/>
                <w:sz w:val="22"/>
                <w:szCs w:val="22"/>
              </w:rPr>
            </w:pPr>
            <w:r w:rsidRPr="009B4D5C">
              <w:rPr>
                <w:i/>
                <w:iCs/>
                <w:sz w:val="22"/>
                <w:szCs w:val="22"/>
              </w:rPr>
              <w:t>Grado de sustitución</w:t>
            </w:r>
          </w:p>
        </w:tc>
        <w:tc>
          <w:tcPr>
            <w:tcW w:w="3543" w:type="dxa"/>
            <w:tcBorders>
              <w:top w:val="single" w:sz="4" w:space="0" w:color="auto"/>
              <w:left w:val="single" w:sz="4" w:space="0" w:color="auto"/>
              <w:bottom w:val="single" w:sz="4" w:space="0" w:color="auto"/>
              <w:right w:val="single" w:sz="4" w:space="0" w:color="auto"/>
            </w:tcBorders>
            <w:noWrap/>
            <w:hideMark/>
          </w:tcPr>
          <w:p w14:paraId="52083C5C" w14:textId="77777777" w:rsidR="00817DB4" w:rsidRPr="009B4D5C" w:rsidRDefault="00817DB4" w:rsidP="00817DB4">
            <w:pPr>
              <w:jc w:val="center"/>
              <w:rPr>
                <w:i/>
                <w:iCs/>
                <w:sz w:val="22"/>
                <w:szCs w:val="22"/>
              </w:rPr>
            </w:pPr>
            <w:r w:rsidRPr="009B4D5C">
              <w:rPr>
                <w:i/>
                <w:iCs/>
                <w:sz w:val="22"/>
                <w:szCs w:val="22"/>
              </w:rPr>
              <w:t>Participación en el mercado de fondos de inversión locales</w:t>
            </w:r>
          </w:p>
        </w:tc>
        <w:tc>
          <w:tcPr>
            <w:tcW w:w="1560" w:type="dxa"/>
            <w:vMerge w:val="restart"/>
            <w:tcBorders>
              <w:top w:val="single" w:sz="4" w:space="0" w:color="auto"/>
              <w:left w:val="single" w:sz="4" w:space="0" w:color="auto"/>
              <w:right w:val="single" w:sz="4" w:space="0" w:color="auto"/>
            </w:tcBorders>
            <w:vAlign w:val="center"/>
          </w:tcPr>
          <w:p w14:paraId="21007DF3" w14:textId="77777777" w:rsidR="00817DB4" w:rsidRPr="009B4D5C" w:rsidRDefault="00817DB4" w:rsidP="00817DB4">
            <w:pPr>
              <w:jc w:val="center"/>
              <w:rPr>
                <w:i/>
                <w:iCs/>
                <w:sz w:val="22"/>
                <w:szCs w:val="22"/>
              </w:rPr>
            </w:pPr>
            <w:r w:rsidRPr="009B4D5C">
              <w:rPr>
                <w:i/>
                <w:iCs/>
                <w:sz w:val="22"/>
                <w:szCs w:val="22"/>
              </w:rPr>
              <w:t>25%</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AEC95AA" w14:textId="77777777" w:rsidR="00817DB4" w:rsidRPr="009B4D5C" w:rsidRDefault="00817DB4" w:rsidP="00817DB4">
            <w:pPr>
              <w:jc w:val="center"/>
              <w:rPr>
                <w:i/>
                <w:iCs/>
                <w:sz w:val="22"/>
                <w:szCs w:val="22"/>
              </w:rPr>
            </w:pPr>
            <w:r w:rsidRPr="009B4D5C">
              <w:rPr>
                <w:i/>
                <w:iCs/>
                <w:sz w:val="22"/>
                <w:szCs w:val="22"/>
              </w:rPr>
              <w:t>8,33%</w:t>
            </w:r>
          </w:p>
        </w:tc>
      </w:tr>
      <w:tr w:rsidR="00817DB4" w:rsidRPr="009B4D5C" w14:paraId="05CF5FD6" w14:textId="77777777" w:rsidTr="002F2BF6">
        <w:trPr>
          <w:trHeight w:val="30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0C227A7" w14:textId="77777777" w:rsidR="00817DB4" w:rsidRPr="009B4D5C" w:rsidRDefault="00817DB4" w:rsidP="00817DB4">
            <w:pPr>
              <w:jc w:val="center"/>
              <w:rPr>
                <w:i/>
                <w:iCs/>
                <w:sz w:val="22"/>
                <w:szCs w:val="22"/>
              </w:rPr>
            </w:pPr>
          </w:p>
        </w:tc>
        <w:tc>
          <w:tcPr>
            <w:tcW w:w="3543" w:type="dxa"/>
            <w:tcBorders>
              <w:top w:val="single" w:sz="4" w:space="0" w:color="auto"/>
              <w:left w:val="single" w:sz="4" w:space="0" w:color="auto"/>
              <w:bottom w:val="single" w:sz="4" w:space="0" w:color="auto"/>
              <w:right w:val="single" w:sz="4" w:space="0" w:color="auto"/>
            </w:tcBorders>
            <w:noWrap/>
            <w:hideMark/>
          </w:tcPr>
          <w:p w14:paraId="2377FDB9" w14:textId="77777777" w:rsidR="00817DB4" w:rsidRPr="009B4D5C" w:rsidRDefault="00817DB4" w:rsidP="00817DB4">
            <w:pPr>
              <w:jc w:val="center"/>
              <w:rPr>
                <w:i/>
                <w:iCs/>
                <w:sz w:val="22"/>
                <w:szCs w:val="22"/>
              </w:rPr>
            </w:pPr>
            <w:r w:rsidRPr="009B4D5C">
              <w:rPr>
                <w:i/>
                <w:iCs/>
                <w:sz w:val="22"/>
                <w:szCs w:val="22"/>
              </w:rPr>
              <w:t>Participación en el Mercado de Moneda Extranjera</w:t>
            </w:r>
          </w:p>
        </w:tc>
        <w:tc>
          <w:tcPr>
            <w:tcW w:w="1560" w:type="dxa"/>
            <w:vMerge/>
            <w:tcBorders>
              <w:left w:val="single" w:sz="4" w:space="0" w:color="auto"/>
              <w:right w:val="single" w:sz="4" w:space="0" w:color="auto"/>
            </w:tcBorders>
          </w:tcPr>
          <w:p w14:paraId="4D4D63B2" w14:textId="77777777" w:rsidR="00817DB4" w:rsidRPr="009B4D5C" w:rsidRDefault="00817DB4" w:rsidP="00817DB4">
            <w:pPr>
              <w:jc w:val="center"/>
              <w:rPr>
                <w:i/>
                <w:iCs/>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CF67410" w14:textId="77777777" w:rsidR="00817DB4" w:rsidRPr="009B4D5C" w:rsidRDefault="00817DB4" w:rsidP="00817DB4">
            <w:pPr>
              <w:jc w:val="center"/>
              <w:rPr>
                <w:i/>
                <w:iCs/>
                <w:sz w:val="22"/>
                <w:szCs w:val="22"/>
              </w:rPr>
            </w:pPr>
            <w:r w:rsidRPr="009B4D5C">
              <w:rPr>
                <w:i/>
                <w:iCs/>
                <w:sz w:val="22"/>
                <w:szCs w:val="22"/>
              </w:rPr>
              <w:t>8,33%</w:t>
            </w:r>
          </w:p>
        </w:tc>
      </w:tr>
      <w:tr w:rsidR="00817DB4" w:rsidRPr="009B4D5C" w14:paraId="1E395A2A" w14:textId="77777777" w:rsidTr="002F2BF6">
        <w:trPr>
          <w:trHeight w:val="30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F9C35EF" w14:textId="77777777" w:rsidR="00817DB4" w:rsidRPr="009B4D5C" w:rsidRDefault="00817DB4" w:rsidP="00817DB4">
            <w:pPr>
              <w:jc w:val="center"/>
              <w:rPr>
                <w:i/>
                <w:iCs/>
                <w:sz w:val="22"/>
                <w:szCs w:val="22"/>
              </w:rPr>
            </w:pPr>
          </w:p>
        </w:tc>
        <w:tc>
          <w:tcPr>
            <w:tcW w:w="3543" w:type="dxa"/>
            <w:tcBorders>
              <w:top w:val="single" w:sz="4" w:space="0" w:color="auto"/>
              <w:left w:val="single" w:sz="4" w:space="0" w:color="auto"/>
              <w:bottom w:val="single" w:sz="4" w:space="0" w:color="auto"/>
              <w:right w:val="single" w:sz="4" w:space="0" w:color="auto"/>
            </w:tcBorders>
            <w:noWrap/>
            <w:hideMark/>
          </w:tcPr>
          <w:p w14:paraId="26CDFD93" w14:textId="77777777" w:rsidR="00817DB4" w:rsidRPr="009B4D5C" w:rsidRDefault="00817DB4" w:rsidP="00817DB4">
            <w:pPr>
              <w:jc w:val="center"/>
              <w:rPr>
                <w:i/>
                <w:iCs/>
                <w:sz w:val="22"/>
                <w:szCs w:val="22"/>
              </w:rPr>
            </w:pPr>
            <w:r w:rsidRPr="009B4D5C">
              <w:rPr>
                <w:i/>
                <w:iCs/>
                <w:sz w:val="22"/>
                <w:szCs w:val="22"/>
              </w:rPr>
              <w:t>Participación en deuda de Gobierno y BCCR</w:t>
            </w:r>
          </w:p>
        </w:tc>
        <w:tc>
          <w:tcPr>
            <w:tcW w:w="1560" w:type="dxa"/>
            <w:vMerge/>
            <w:tcBorders>
              <w:left w:val="single" w:sz="4" w:space="0" w:color="auto"/>
              <w:bottom w:val="single" w:sz="4" w:space="0" w:color="auto"/>
              <w:right w:val="single" w:sz="4" w:space="0" w:color="auto"/>
            </w:tcBorders>
          </w:tcPr>
          <w:p w14:paraId="4785ABAC" w14:textId="77777777" w:rsidR="00817DB4" w:rsidRPr="009B4D5C" w:rsidRDefault="00817DB4" w:rsidP="00817DB4">
            <w:pPr>
              <w:jc w:val="center"/>
              <w:rPr>
                <w:i/>
                <w:iCs/>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E17B2F5" w14:textId="77777777" w:rsidR="00817DB4" w:rsidRPr="009B4D5C" w:rsidRDefault="00817DB4" w:rsidP="00817DB4">
            <w:pPr>
              <w:jc w:val="center"/>
              <w:rPr>
                <w:i/>
                <w:iCs/>
                <w:sz w:val="22"/>
                <w:szCs w:val="22"/>
              </w:rPr>
            </w:pPr>
            <w:r w:rsidRPr="009B4D5C">
              <w:rPr>
                <w:i/>
                <w:iCs/>
                <w:sz w:val="22"/>
                <w:szCs w:val="22"/>
              </w:rPr>
              <w:t>8,33%</w:t>
            </w:r>
          </w:p>
        </w:tc>
      </w:tr>
    </w:tbl>
    <w:p w14:paraId="1944CC29" w14:textId="77777777" w:rsidR="00817DB4" w:rsidRPr="009B4D5C" w:rsidRDefault="00817DB4" w:rsidP="00817DB4">
      <w:pPr>
        <w:jc w:val="both"/>
        <w:rPr>
          <w:sz w:val="22"/>
          <w:szCs w:val="22"/>
        </w:rPr>
      </w:pPr>
    </w:p>
    <w:p w14:paraId="7F58FEA2" w14:textId="77777777" w:rsidR="00817DB4" w:rsidRPr="009B4D5C" w:rsidRDefault="00817DB4" w:rsidP="00817DB4">
      <w:pPr>
        <w:jc w:val="both"/>
        <w:rPr>
          <w:b/>
          <w:bCs/>
          <w:i/>
          <w:iCs/>
          <w:sz w:val="22"/>
          <w:szCs w:val="22"/>
        </w:rPr>
      </w:pPr>
      <w:r w:rsidRPr="009B4D5C">
        <w:rPr>
          <w:b/>
          <w:bCs/>
          <w:i/>
          <w:iCs/>
          <w:sz w:val="22"/>
          <w:szCs w:val="22"/>
        </w:rPr>
        <w:t>Artículo 18. Determinación de la condición de entidad de importancia sistémica.</w:t>
      </w:r>
    </w:p>
    <w:p w14:paraId="142D8078" w14:textId="77777777" w:rsidR="00817DB4" w:rsidRPr="009B4D5C" w:rsidRDefault="00817DB4" w:rsidP="00817DB4">
      <w:pPr>
        <w:jc w:val="both"/>
        <w:rPr>
          <w:sz w:val="22"/>
          <w:szCs w:val="22"/>
        </w:rPr>
      </w:pPr>
    </w:p>
    <w:p w14:paraId="30A63990" w14:textId="77777777" w:rsidR="00817DB4" w:rsidRPr="009B4D5C" w:rsidRDefault="00817DB4" w:rsidP="00817DB4">
      <w:pPr>
        <w:jc w:val="both"/>
        <w:rPr>
          <w:sz w:val="22"/>
          <w:szCs w:val="22"/>
        </w:rPr>
      </w:pPr>
      <w:r w:rsidRPr="009B4D5C">
        <w:rPr>
          <w:sz w:val="22"/>
          <w:szCs w:val="22"/>
        </w:rPr>
        <w:t>La condición de entidad de importancia sistémica será determinada por la SUPEN mediante la aplicación de la metodología de puntaje dispuesta en este reglamento.</w:t>
      </w:r>
    </w:p>
    <w:p w14:paraId="73FB051A" w14:textId="77777777" w:rsidR="00817DB4" w:rsidRPr="009B4D5C" w:rsidRDefault="00817DB4" w:rsidP="00817DB4">
      <w:pPr>
        <w:jc w:val="both"/>
        <w:rPr>
          <w:sz w:val="22"/>
          <w:szCs w:val="22"/>
        </w:rPr>
      </w:pPr>
    </w:p>
    <w:p w14:paraId="7FFFB4B2" w14:textId="77777777" w:rsidR="00817DB4" w:rsidRPr="009B4D5C" w:rsidRDefault="00817DB4" w:rsidP="00817DB4">
      <w:pPr>
        <w:jc w:val="both"/>
        <w:rPr>
          <w:sz w:val="22"/>
          <w:szCs w:val="22"/>
        </w:rPr>
      </w:pPr>
      <w:r w:rsidRPr="009B4D5C">
        <w:rPr>
          <w:sz w:val="22"/>
          <w:szCs w:val="22"/>
        </w:rPr>
        <w:t>La entidad catalogada de importancia sistémica es aquella cuyo resultado sea igual o superior al percentil 70.”</w:t>
      </w:r>
    </w:p>
    <w:p w14:paraId="0FC4136B" w14:textId="77777777" w:rsidR="00817DB4" w:rsidRPr="009B4D5C" w:rsidRDefault="00817DB4" w:rsidP="00817DB4">
      <w:pPr>
        <w:jc w:val="both"/>
        <w:rPr>
          <w:sz w:val="22"/>
          <w:szCs w:val="22"/>
        </w:rPr>
      </w:pPr>
    </w:p>
    <w:p w14:paraId="7029A1FF" w14:textId="77777777" w:rsidR="00817DB4" w:rsidRPr="009B4D5C" w:rsidRDefault="00817DB4" w:rsidP="00817DB4">
      <w:pPr>
        <w:ind w:left="567" w:hanging="567"/>
        <w:jc w:val="both"/>
        <w:rPr>
          <w:b/>
          <w:bCs/>
          <w:sz w:val="22"/>
          <w:szCs w:val="22"/>
        </w:rPr>
      </w:pPr>
      <w:r w:rsidRPr="009B4D5C">
        <w:rPr>
          <w:b/>
          <w:bCs/>
          <w:sz w:val="22"/>
          <w:szCs w:val="22"/>
        </w:rPr>
        <w:t>V.</w:t>
      </w:r>
      <w:r w:rsidRPr="009B4D5C">
        <w:rPr>
          <w:b/>
          <w:bCs/>
          <w:sz w:val="22"/>
          <w:szCs w:val="22"/>
        </w:rPr>
        <w:tab/>
        <w:t>Adicionar un capítulo sexto con la denominación “Disposiciones Finales” en las que se modifican y renumeran los artículos 7, 8, 9 y 10 del reglamento vigente, para que se lea de la siguiente forma:</w:t>
      </w:r>
    </w:p>
    <w:p w14:paraId="0838A156" w14:textId="77777777" w:rsidR="00817DB4" w:rsidRPr="009B4D5C" w:rsidRDefault="00817DB4" w:rsidP="00817DB4">
      <w:pPr>
        <w:jc w:val="both"/>
        <w:rPr>
          <w:i/>
          <w:iCs/>
          <w:sz w:val="22"/>
          <w:szCs w:val="22"/>
        </w:rPr>
      </w:pPr>
    </w:p>
    <w:p w14:paraId="7F9210B8" w14:textId="77777777" w:rsidR="00817DB4" w:rsidRPr="009B4D5C" w:rsidRDefault="00817DB4" w:rsidP="00817DB4">
      <w:pPr>
        <w:jc w:val="center"/>
        <w:rPr>
          <w:b/>
          <w:bCs/>
          <w:i/>
          <w:iCs/>
          <w:sz w:val="22"/>
          <w:szCs w:val="22"/>
        </w:rPr>
      </w:pPr>
      <w:r w:rsidRPr="009B4D5C">
        <w:rPr>
          <w:b/>
          <w:bCs/>
          <w:i/>
          <w:iCs/>
          <w:sz w:val="22"/>
          <w:szCs w:val="22"/>
        </w:rPr>
        <w:t>“CAPÍTULO VI</w:t>
      </w:r>
    </w:p>
    <w:p w14:paraId="219850B1" w14:textId="77777777" w:rsidR="00817DB4" w:rsidRPr="009B4D5C" w:rsidRDefault="00817DB4" w:rsidP="00817DB4">
      <w:pPr>
        <w:jc w:val="center"/>
        <w:rPr>
          <w:b/>
          <w:bCs/>
          <w:i/>
          <w:iCs/>
          <w:sz w:val="22"/>
          <w:szCs w:val="22"/>
        </w:rPr>
      </w:pPr>
      <w:r w:rsidRPr="009B4D5C">
        <w:rPr>
          <w:b/>
          <w:bCs/>
          <w:i/>
          <w:iCs/>
          <w:sz w:val="22"/>
          <w:szCs w:val="22"/>
        </w:rPr>
        <w:t>DISPOSICIONES FINALES</w:t>
      </w:r>
    </w:p>
    <w:p w14:paraId="6B5C54DD" w14:textId="77777777" w:rsidR="00817DB4" w:rsidRPr="009B4D5C" w:rsidRDefault="00817DB4" w:rsidP="00817DB4">
      <w:pPr>
        <w:jc w:val="center"/>
        <w:rPr>
          <w:b/>
          <w:bCs/>
          <w:i/>
          <w:iCs/>
          <w:sz w:val="22"/>
          <w:szCs w:val="22"/>
        </w:rPr>
      </w:pPr>
    </w:p>
    <w:p w14:paraId="503095D3" w14:textId="77777777" w:rsidR="00817DB4" w:rsidRPr="009B4D5C" w:rsidRDefault="00817DB4" w:rsidP="00817DB4">
      <w:pPr>
        <w:jc w:val="both"/>
        <w:rPr>
          <w:b/>
          <w:bCs/>
          <w:i/>
          <w:iCs/>
          <w:sz w:val="22"/>
          <w:szCs w:val="22"/>
        </w:rPr>
      </w:pPr>
      <w:r w:rsidRPr="009B4D5C">
        <w:rPr>
          <w:b/>
          <w:bCs/>
          <w:i/>
          <w:iCs/>
          <w:sz w:val="22"/>
          <w:szCs w:val="22"/>
        </w:rPr>
        <w:t>Artículo 19. Lista de entidades y puntajes.</w:t>
      </w:r>
    </w:p>
    <w:p w14:paraId="72F09D16" w14:textId="77777777" w:rsidR="00817DB4" w:rsidRPr="009B4D5C" w:rsidRDefault="00817DB4" w:rsidP="00817DB4">
      <w:pPr>
        <w:jc w:val="both"/>
        <w:rPr>
          <w:i/>
          <w:iCs/>
          <w:sz w:val="22"/>
          <w:szCs w:val="22"/>
        </w:rPr>
      </w:pPr>
      <w:r w:rsidRPr="009B4D5C">
        <w:rPr>
          <w:i/>
          <w:iCs/>
          <w:sz w:val="22"/>
          <w:szCs w:val="22"/>
        </w:rPr>
        <w:t>La aplicación de la metodología resulta en una lista de entidades de importancia sistémica, ordenada de mayor a menor puntaje, tal como se indica a continuación:</w:t>
      </w:r>
    </w:p>
    <w:p w14:paraId="13C7423E" w14:textId="77777777" w:rsidR="00817DB4" w:rsidRPr="009B4D5C" w:rsidRDefault="00817DB4" w:rsidP="00817DB4">
      <w:pPr>
        <w:jc w:val="both"/>
        <w:rPr>
          <w:i/>
          <w:iCs/>
          <w:sz w:val="22"/>
          <w:szCs w:val="22"/>
        </w:rPr>
      </w:pP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67"/>
        <w:gridCol w:w="880"/>
        <w:gridCol w:w="1018"/>
      </w:tblGrid>
      <w:tr w:rsidR="00817DB4" w:rsidRPr="009B4D5C" w14:paraId="623BC291" w14:textId="77777777" w:rsidTr="002F2BF6">
        <w:trPr>
          <w:jc w:val="center"/>
        </w:trPr>
        <w:tc>
          <w:tcPr>
            <w:tcW w:w="3767"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5E44F1B4" w14:textId="77777777" w:rsidR="00817DB4" w:rsidRPr="009B4D5C" w:rsidRDefault="00817DB4" w:rsidP="00817DB4">
            <w:pPr>
              <w:jc w:val="both"/>
              <w:rPr>
                <w:b/>
                <w:bCs/>
                <w:i/>
                <w:iCs/>
                <w:color w:val="FFFFFF" w:themeColor="background1"/>
                <w:sz w:val="22"/>
                <w:szCs w:val="22"/>
              </w:rPr>
            </w:pPr>
            <w:r w:rsidRPr="009B4D5C">
              <w:rPr>
                <w:b/>
                <w:bCs/>
                <w:i/>
                <w:iCs/>
                <w:color w:val="FFFFFF" w:themeColor="background1"/>
                <w:sz w:val="22"/>
                <w:szCs w:val="22"/>
              </w:rPr>
              <w:t>Posición según importancia sistémica</w:t>
            </w:r>
          </w:p>
        </w:tc>
        <w:tc>
          <w:tcPr>
            <w:tcW w:w="880"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15F9748A" w14:textId="77777777" w:rsidR="00817DB4" w:rsidRPr="009B4D5C" w:rsidRDefault="00817DB4" w:rsidP="00817DB4">
            <w:pPr>
              <w:jc w:val="both"/>
              <w:rPr>
                <w:b/>
                <w:bCs/>
                <w:i/>
                <w:iCs/>
                <w:color w:val="FFFFFF" w:themeColor="background1"/>
                <w:sz w:val="22"/>
                <w:szCs w:val="22"/>
              </w:rPr>
            </w:pPr>
            <w:r w:rsidRPr="009B4D5C">
              <w:rPr>
                <w:b/>
                <w:bCs/>
                <w:i/>
                <w:iCs/>
                <w:color w:val="FFFFFF" w:themeColor="background1"/>
                <w:sz w:val="22"/>
                <w:szCs w:val="22"/>
              </w:rPr>
              <w:t>Entidad</w:t>
            </w:r>
          </w:p>
        </w:tc>
        <w:tc>
          <w:tcPr>
            <w:tcW w:w="1018" w:type="dxa"/>
            <w:tcBorders>
              <w:top w:val="single" w:sz="4" w:space="0" w:color="auto"/>
              <w:left w:val="single" w:sz="4" w:space="0" w:color="auto"/>
              <w:bottom w:val="single" w:sz="4" w:space="0" w:color="auto"/>
              <w:right w:val="single" w:sz="4" w:space="0" w:color="auto"/>
            </w:tcBorders>
            <w:shd w:val="clear" w:color="auto" w:fill="1F3864" w:themeFill="accent1" w:themeFillShade="80"/>
            <w:tcMar>
              <w:top w:w="0" w:type="dxa"/>
              <w:left w:w="108" w:type="dxa"/>
              <w:bottom w:w="0" w:type="dxa"/>
              <w:right w:w="108" w:type="dxa"/>
            </w:tcMar>
            <w:hideMark/>
          </w:tcPr>
          <w:p w14:paraId="1DF8860F" w14:textId="77777777" w:rsidR="00817DB4" w:rsidRPr="009B4D5C" w:rsidRDefault="00817DB4" w:rsidP="00817DB4">
            <w:pPr>
              <w:jc w:val="both"/>
              <w:rPr>
                <w:b/>
                <w:bCs/>
                <w:i/>
                <w:iCs/>
                <w:color w:val="FFFFFF" w:themeColor="background1"/>
                <w:sz w:val="22"/>
                <w:szCs w:val="22"/>
              </w:rPr>
            </w:pPr>
            <w:r w:rsidRPr="009B4D5C">
              <w:rPr>
                <w:b/>
                <w:bCs/>
                <w:i/>
                <w:iCs/>
                <w:color w:val="FFFFFF" w:themeColor="background1"/>
                <w:sz w:val="22"/>
                <w:szCs w:val="22"/>
              </w:rPr>
              <w:t>Puntaje</w:t>
            </w:r>
          </w:p>
        </w:tc>
      </w:tr>
      <w:tr w:rsidR="00817DB4" w:rsidRPr="009B4D5C" w14:paraId="3CFBC7DE" w14:textId="77777777" w:rsidTr="002F2BF6">
        <w:trPr>
          <w:jc w:val="center"/>
        </w:trPr>
        <w:tc>
          <w:tcPr>
            <w:tcW w:w="3767" w:type="dxa"/>
            <w:tcBorders>
              <w:top w:val="single" w:sz="4" w:space="0" w:color="auto"/>
              <w:left w:val="single" w:sz="4" w:space="0" w:color="auto"/>
              <w:bottom w:val="single" w:sz="4" w:space="0" w:color="auto"/>
              <w:right w:val="single" w:sz="4" w:space="0" w:color="auto"/>
            </w:tcBorders>
            <w:hideMark/>
          </w:tcPr>
          <w:p w14:paraId="29A41BB4" w14:textId="77777777" w:rsidR="00817DB4" w:rsidRPr="009B4D5C" w:rsidRDefault="00817DB4" w:rsidP="00817DB4">
            <w:pPr>
              <w:jc w:val="both"/>
              <w:rPr>
                <w:i/>
                <w:iCs/>
                <w:sz w:val="22"/>
                <w:szCs w:val="22"/>
              </w:rPr>
            </w:pPr>
            <w:r w:rsidRPr="009B4D5C">
              <w:rPr>
                <w:i/>
                <w:iCs/>
                <w:sz w:val="22"/>
                <w:szCs w:val="22"/>
              </w:rPr>
              <w:t>1</w:t>
            </w:r>
          </w:p>
        </w:tc>
        <w:tc>
          <w:tcPr>
            <w:tcW w:w="880" w:type="dxa"/>
            <w:tcBorders>
              <w:top w:val="single" w:sz="4" w:space="0" w:color="auto"/>
              <w:left w:val="single" w:sz="4" w:space="0" w:color="auto"/>
              <w:bottom w:val="single" w:sz="4" w:space="0" w:color="auto"/>
              <w:right w:val="single" w:sz="4" w:space="0" w:color="auto"/>
            </w:tcBorders>
          </w:tcPr>
          <w:p w14:paraId="17C798DE" w14:textId="77777777" w:rsidR="00817DB4" w:rsidRPr="009B4D5C" w:rsidRDefault="00817DB4" w:rsidP="00817DB4">
            <w:pPr>
              <w:jc w:val="both"/>
              <w:rPr>
                <w:i/>
                <w:iCs/>
                <w:sz w:val="22"/>
                <w:szCs w:val="22"/>
              </w:rPr>
            </w:pPr>
          </w:p>
        </w:tc>
        <w:tc>
          <w:tcPr>
            <w:tcW w:w="1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03345" w14:textId="77777777" w:rsidR="00817DB4" w:rsidRPr="009B4D5C" w:rsidRDefault="00817DB4" w:rsidP="00817DB4">
            <w:pPr>
              <w:jc w:val="both"/>
              <w:rPr>
                <w:i/>
                <w:iCs/>
                <w:sz w:val="22"/>
                <w:szCs w:val="22"/>
              </w:rPr>
            </w:pPr>
          </w:p>
        </w:tc>
      </w:tr>
      <w:tr w:rsidR="00817DB4" w:rsidRPr="009B4D5C" w14:paraId="65A6FCB3" w14:textId="77777777" w:rsidTr="002F2BF6">
        <w:trPr>
          <w:jc w:val="center"/>
        </w:trPr>
        <w:tc>
          <w:tcPr>
            <w:tcW w:w="3767" w:type="dxa"/>
            <w:tcBorders>
              <w:top w:val="single" w:sz="4" w:space="0" w:color="auto"/>
              <w:left w:val="single" w:sz="4" w:space="0" w:color="auto"/>
              <w:bottom w:val="single" w:sz="4" w:space="0" w:color="auto"/>
              <w:right w:val="single" w:sz="4" w:space="0" w:color="auto"/>
            </w:tcBorders>
            <w:hideMark/>
          </w:tcPr>
          <w:p w14:paraId="222F5569" w14:textId="77777777" w:rsidR="00817DB4" w:rsidRPr="009B4D5C" w:rsidRDefault="00817DB4" w:rsidP="00817DB4">
            <w:pPr>
              <w:jc w:val="both"/>
              <w:rPr>
                <w:i/>
                <w:iCs/>
                <w:sz w:val="22"/>
                <w:szCs w:val="22"/>
              </w:rPr>
            </w:pPr>
            <w:r w:rsidRPr="009B4D5C">
              <w:rPr>
                <w:i/>
                <w:iCs/>
                <w:sz w:val="22"/>
                <w:szCs w:val="22"/>
              </w:rPr>
              <w:t>2</w:t>
            </w:r>
          </w:p>
        </w:tc>
        <w:tc>
          <w:tcPr>
            <w:tcW w:w="880" w:type="dxa"/>
            <w:tcBorders>
              <w:top w:val="single" w:sz="4" w:space="0" w:color="auto"/>
              <w:left w:val="single" w:sz="4" w:space="0" w:color="auto"/>
              <w:bottom w:val="single" w:sz="4" w:space="0" w:color="auto"/>
              <w:right w:val="single" w:sz="4" w:space="0" w:color="auto"/>
            </w:tcBorders>
          </w:tcPr>
          <w:p w14:paraId="0CEC54BF" w14:textId="77777777" w:rsidR="00817DB4" w:rsidRPr="009B4D5C" w:rsidRDefault="00817DB4" w:rsidP="00817DB4">
            <w:pPr>
              <w:jc w:val="both"/>
              <w:rPr>
                <w:i/>
                <w:iCs/>
                <w:sz w:val="22"/>
                <w:szCs w:val="22"/>
              </w:rPr>
            </w:pPr>
          </w:p>
        </w:tc>
        <w:tc>
          <w:tcPr>
            <w:tcW w:w="1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BCE52" w14:textId="77777777" w:rsidR="00817DB4" w:rsidRPr="009B4D5C" w:rsidRDefault="00817DB4" w:rsidP="00817DB4">
            <w:pPr>
              <w:jc w:val="both"/>
              <w:rPr>
                <w:i/>
                <w:iCs/>
                <w:sz w:val="22"/>
                <w:szCs w:val="22"/>
              </w:rPr>
            </w:pPr>
          </w:p>
        </w:tc>
      </w:tr>
      <w:tr w:rsidR="00817DB4" w:rsidRPr="009B4D5C" w14:paraId="78786057" w14:textId="77777777" w:rsidTr="002F2BF6">
        <w:trPr>
          <w:jc w:val="center"/>
        </w:trPr>
        <w:tc>
          <w:tcPr>
            <w:tcW w:w="3767" w:type="dxa"/>
            <w:tcBorders>
              <w:top w:val="single" w:sz="4" w:space="0" w:color="auto"/>
              <w:left w:val="single" w:sz="4" w:space="0" w:color="auto"/>
              <w:bottom w:val="single" w:sz="4" w:space="0" w:color="auto"/>
              <w:right w:val="single" w:sz="4" w:space="0" w:color="auto"/>
            </w:tcBorders>
            <w:hideMark/>
          </w:tcPr>
          <w:p w14:paraId="523941DB" w14:textId="77777777" w:rsidR="00817DB4" w:rsidRPr="009B4D5C" w:rsidRDefault="00817DB4" w:rsidP="00817DB4">
            <w:pPr>
              <w:jc w:val="both"/>
              <w:rPr>
                <w:i/>
                <w:iCs/>
                <w:sz w:val="22"/>
                <w:szCs w:val="22"/>
              </w:rPr>
            </w:pPr>
            <w:r w:rsidRPr="009B4D5C">
              <w:rPr>
                <w:i/>
                <w:iCs/>
                <w:sz w:val="22"/>
                <w:szCs w:val="22"/>
              </w:rPr>
              <w:t>…</w:t>
            </w:r>
          </w:p>
        </w:tc>
        <w:tc>
          <w:tcPr>
            <w:tcW w:w="880" w:type="dxa"/>
            <w:tcBorders>
              <w:top w:val="single" w:sz="4" w:space="0" w:color="auto"/>
              <w:left w:val="single" w:sz="4" w:space="0" w:color="auto"/>
              <w:bottom w:val="single" w:sz="4" w:space="0" w:color="auto"/>
              <w:right w:val="single" w:sz="4" w:space="0" w:color="auto"/>
            </w:tcBorders>
          </w:tcPr>
          <w:p w14:paraId="79A05ECC" w14:textId="77777777" w:rsidR="00817DB4" w:rsidRPr="009B4D5C" w:rsidRDefault="00817DB4" w:rsidP="00817DB4">
            <w:pPr>
              <w:jc w:val="both"/>
              <w:rPr>
                <w:i/>
                <w:iCs/>
                <w:sz w:val="22"/>
                <w:szCs w:val="22"/>
              </w:rPr>
            </w:pPr>
          </w:p>
        </w:tc>
        <w:tc>
          <w:tcPr>
            <w:tcW w:w="1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1BC10" w14:textId="77777777" w:rsidR="00817DB4" w:rsidRPr="009B4D5C" w:rsidRDefault="00817DB4" w:rsidP="00817DB4">
            <w:pPr>
              <w:jc w:val="both"/>
              <w:rPr>
                <w:i/>
                <w:iCs/>
                <w:sz w:val="22"/>
                <w:szCs w:val="22"/>
              </w:rPr>
            </w:pPr>
          </w:p>
        </w:tc>
      </w:tr>
      <w:tr w:rsidR="00817DB4" w:rsidRPr="009B4D5C" w14:paraId="74283FC1" w14:textId="77777777" w:rsidTr="002F2BF6">
        <w:trPr>
          <w:jc w:val="center"/>
        </w:trPr>
        <w:tc>
          <w:tcPr>
            <w:tcW w:w="3767" w:type="dxa"/>
            <w:tcBorders>
              <w:top w:val="single" w:sz="4" w:space="0" w:color="auto"/>
              <w:left w:val="single" w:sz="4" w:space="0" w:color="auto"/>
              <w:bottom w:val="single" w:sz="4" w:space="0" w:color="auto"/>
              <w:right w:val="single" w:sz="4" w:space="0" w:color="auto"/>
            </w:tcBorders>
            <w:hideMark/>
          </w:tcPr>
          <w:p w14:paraId="3D14E217" w14:textId="77777777" w:rsidR="00817DB4" w:rsidRPr="009B4D5C" w:rsidRDefault="00817DB4" w:rsidP="00817DB4">
            <w:pPr>
              <w:jc w:val="both"/>
              <w:rPr>
                <w:i/>
                <w:iCs/>
                <w:sz w:val="22"/>
                <w:szCs w:val="22"/>
              </w:rPr>
            </w:pPr>
            <w:r w:rsidRPr="009B4D5C">
              <w:rPr>
                <w:i/>
                <w:iCs/>
                <w:sz w:val="22"/>
                <w:szCs w:val="22"/>
              </w:rPr>
              <w:t>N</w:t>
            </w:r>
          </w:p>
        </w:tc>
        <w:tc>
          <w:tcPr>
            <w:tcW w:w="880" w:type="dxa"/>
            <w:tcBorders>
              <w:top w:val="single" w:sz="4" w:space="0" w:color="auto"/>
              <w:left w:val="single" w:sz="4" w:space="0" w:color="auto"/>
              <w:bottom w:val="single" w:sz="4" w:space="0" w:color="auto"/>
              <w:right w:val="single" w:sz="4" w:space="0" w:color="auto"/>
            </w:tcBorders>
          </w:tcPr>
          <w:p w14:paraId="65326931" w14:textId="77777777" w:rsidR="00817DB4" w:rsidRPr="009B4D5C" w:rsidRDefault="00817DB4" w:rsidP="00817DB4">
            <w:pPr>
              <w:jc w:val="both"/>
              <w:rPr>
                <w:i/>
                <w:iCs/>
                <w:sz w:val="22"/>
                <w:szCs w:val="22"/>
              </w:rPr>
            </w:pPr>
          </w:p>
        </w:tc>
        <w:tc>
          <w:tcPr>
            <w:tcW w:w="1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A58A9" w14:textId="77777777" w:rsidR="00817DB4" w:rsidRPr="009B4D5C" w:rsidRDefault="00817DB4" w:rsidP="00817DB4">
            <w:pPr>
              <w:jc w:val="both"/>
              <w:rPr>
                <w:i/>
                <w:iCs/>
                <w:sz w:val="22"/>
                <w:szCs w:val="22"/>
              </w:rPr>
            </w:pPr>
          </w:p>
        </w:tc>
      </w:tr>
    </w:tbl>
    <w:p w14:paraId="4722D2B0" w14:textId="77777777" w:rsidR="00817DB4" w:rsidRPr="009B4D5C" w:rsidRDefault="00817DB4" w:rsidP="00817DB4">
      <w:pPr>
        <w:ind w:left="1985" w:right="1984"/>
        <w:jc w:val="both"/>
        <w:rPr>
          <w:i/>
          <w:iCs/>
          <w:sz w:val="22"/>
          <w:szCs w:val="22"/>
        </w:rPr>
      </w:pPr>
      <w:r w:rsidRPr="009B4D5C">
        <w:rPr>
          <w:i/>
          <w:iCs/>
          <w:sz w:val="22"/>
          <w:szCs w:val="22"/>
        </w:rPr>
        <w:lastRenderedPageBreak/>
        <w:t>Nota:  La identificación de una entidad como sistémica no implica que se emita un criterio o recomendación sobre la gestión o solvencia de la entidad.</w:t>
      </w:r>
    </w:p>
    <w:p w14:paraId="1DF98248" w14:textId="77777777" w:rsidR="00817DB4" w:rsidRPr="009B4D5C" w:rsidRDefault="00817DB4" w:rsidP="00817DB4">
      <w:pPr>
        <w:jc w:val="both"/>
        <w:rPr>
          <w:i/>
          <w:iCs/>
          <w:sz w:val="22"/>
          <w:szCs w:val="22"/>
        </w:rPr>
      </w:pPr>
    </w:p>
    <w:p w14:paraId="0807BD8E" w14:textId="77777777" w:rsidR="00817DB4" w:rsidRPr="009B4D5C" w:rsidRDefault="00817DB4" w:rsidP="00817DB4">
      <w:pPr>
        <w:jc w:val="both"/>
        <w:rPr>
          <w:i/>
          <w:iCs/>
          <w:sz w:val="22"/>
          <w:szCs w:val="22"/>
        </w:rPr>
      </w:pPr>
      <w:r w:rsidRPr="009B4D5C">
        <w:rPr>
          <w:i/>
          <w:iCs/>
          <w:sz w:val="22"/>
          <w:szCs w:val="22"/>
        </w:rPr>
        <w:t>Las superintendencias deben publicar, y mantener actualizadas, en sus respectivos sitios de Internet, la lista de entidades de importancia sistémica que estén dentro de su perímetro de supervisión.</w:t>
      </w:r>
    </w:p>
    <w:p w14:paraId="2BFFA94F" w14:textId="77777777" w:rsidR="00817DB4" w:rsidRPr="009B4D5C" w:rsidRDefault="00817DB4" w:rsidP="00817DB4">
      <w:pPr>
        <w:jc w:val="both"/>
        <w:rPr>
          <w:i/>
          <w:iCs/>
          <w:sz w:val="22"/>
          <w:szCs w:val="22"/>
        </w:rPr>
      </w:pPr>
    </w:p>
    <w:p w14:paraId="0A0F026F" w14:textId="77777777" w:rsidR="00817DB4" w:rsidRPr="009B4D5C" w:rsidRDefault="00817DB4" w:rsidP="00817DB4">
      <w:pPr>
        <w:jc w:val="both"/>
        <w:rPr>
          <w:b/>
          <w:bCs/>
          <w:i/>
          <w:iCs/>
          <w:sz w:val="22"/>
          <w:szCs w:val="22"/>
        </w:rPr>
      </w:pPr>
      <w:r w:rsidRPr="009B4D5C">
        <w:rPr>
          <w:b/>
          <w:bCs/>
          <w:i/>
          <w:iCs/>
          <w:sz w:val="22"/>
          <w:szCs w:val="22"/>
        </w:rPr>
        <w:t>Artículo 20. Comunicación de la condición de importancia sistémica.</w:t>
      </w:r>
    </w:p>
    <w:p w14:paraId="7CDD21C8" w14:textId="77777777" w:rsidR="00817DB4" w:rsidRPr="009B4D5C" w:rsidRDefault="00817DB4" w:rsidP="00817DB4">
      <w:pPr>
        <w:jc w:val="both"/>
        <w:rPr>
          <w:i/>
          <w:iCs/>
          <w:sz w:val="22"/>
          <w:szCs w:val="22"/>
        </w:rPr>
      </w:pPr>
    </w:p>
    <w:p w14:paraId="4A65DE1B" w14:textId="77777777" w:rsidR="00817DB4" w:rsidRPr="009B4D5C" w:rsidRDefault="00817DB4" w:rsidP="00817DB4">
      <w:pPr>
        <w:jc w:val="both"/>
        <w:rPr>
          <w:i/>
          <w:iCs/>
          <w:sz w:val="22"/>
          <w:szCs w:val="22"/>
        </w:rPr>
      </w:pPr>
      <w:r w:rsidRPr="009B4D5C">
        <w:rPr>
          <w:i/>
          <w:iCs/>
          <w:sz w:val="22"/>
          <w:szCs w:val="22"/>
        </w:rPr>
        <w:t>La Superintendencia comunicará a las entidades que corresponda, su condición de importancia sistémica.</w:t>
      </w:r>
    </w:p>
    <w:p w14:paraId="410693BD" w14:textId="77777777" w:rsidR="00817DB4" w:rsidRPr="009B4D5C" w:rsidRDefault="00817DB4" w:rsidP="00817DB4">
      <w:pPr>
        <w:jc w:val="both"/>
        <w:rPr>
          <w:i/>
          <w:iCs/>
          <w:sz w:val="22"/>
          <w:szCs w:val="22"/>
        </w:rPr>
      </w:pPr>
    </w:p>
    <w:p w14:paraId="345EA303" w14:textId="77777777" w:rsidR="00817DB4" w:rsidRPr="009B4D5C" w:rsidRDefault="00817DB4" w:rsidP="00817DB4">
      <w:pPr>
        <w:jc w:val="both"/>
        <w:rPr>
          <w:b/>
          <w:bCs/>
          <w:i/>
          <w:iCs/>
          <w:sz w:val="22"/>
          <w:szCs w:val="22"/>
        </w:rPr>
      </w:pPr>
      <w:r w:rsidRPr="009B4D5C">
        <w:rPr>
          <w:b/>
          <w:bCs/>
          <w:i/>
          <w:iCs/>
          <w:sz w:val="22"/>
          <w:szCs w:val="22"/>
        </w:rPr>
        <w:t>Artículo 21. Evaluaciones periódicas de la importancia sistémica de las entidades financieras.</w:t>
      </w:r>
    </w:p>
    <w:p w14:paraId="2DA06C67" w14:textId="77777777" w:rsidR="00817DB4" w:rsidRPr="009B4D5C" w:rsidRDefault="00817DB4" w:rsidP="00817DB4">
      <w:pPr>
        <w:jc w:val="both"/>
        <w:rPr>
          <w:i/>
          <w:iCs/>
          <w:sz w:val="22"/>
          <w:szCs w:val="22"/>
        </w:rPr>
      </w:pPr>
    </w:p>
    <w:p w14:paraId="7E6B7BBD" w14:textId="77777777" w:rsidR="00817DB4" w:rsidRPr="009B4D5C" w:rsidRDefault="00817DB4" w:rsidP="00817DB4">
      <w:pPr>
        <w:jc w:val="both"/>
        <w:rPr>
          <w:i/>
          <w:iCs/>
          <w:sz w:val="22"/>
          <w:szCs w:val="22"/>
        </w:rPr>
      </w:pPr>
      <w:r w:rsidRPr="009B4D5C">
        <w:rPr>
          <w:i/>
          <w:iCs/>
          <w:sz w:val="22"/>
          <w:szCs w:val="22"/>
        </w:rPr>
        <w:t>La condición de importancia sistémica se actualizará al menos una vez cada tres años.</w:t>
      </w:r>
    </w:p>
    <w:p w14:paraId="7C76F712" w14:textId="77777777" w:rsidR="00817DB4" w:rsidRPr="009B4D5C" w:rsidRDefault="00817DB4" w:rsidP="00817DB4">
      <w:pPr>
        <w:jc w:val="both"/>
        <w:rPr>
          <w:i/>
          <w:iCs/>
          <w:sz w:val="22"/>
          <w:szCs w:val="22"/>
        </w:rPr>
      </w:pPr>
    </w:p>
    <w:p w14:paraId="7AF15FA7" w14:textId="77777777" w:rsidR="00817DB4" w:rsidRPr="009B4D5C" w:rsidRDefault="00817DB4" w:rsidP="00817DB4">
      <w:pPr>
        <w:jc w:val="both"/>
        <w:rPr>
          <w:i/>
          <w:iCs/>
          <w:sz w:val="22"/>
          <w:szCs w:val="22"/>
        </w:rPr>
      </w:pPr>
      <w:r w:rsidRPr="009B4D5C">
        <w:rPr>
          <w:i/>
          <w:iCs/>
          <w:sz w:val="22"/>
          <w:szCs w:val="22"/>
        </w:rPr>
        <w:t>Cada Superintendencia verificará la condición de importancia sistémica de las entidades cuando a su criterio hayan ocurrido cambios estructurales significativos en el sistema financiero que impliquen una revisión.</w:t>
      </w:r>
    </w:p>
    <w:p w14:paraId="18EF7C16" w14:textId="77777777" w:rsidR="00817DB4" w:rsidRPr="009B4D5C" w:rsidRDefault="00817DB4" w:rsidP="00817DB4">
      <w:pPr>
        <w:jc w:val="both"/>
        <w:rPr>
          <w:sz w:val="22"/>
          <w:szCs w:val="22"/>
        </w:rPr>
      </w:pPr>
    </w:p>
    <w:p w14:paraId="3678198E" w14:textId="77777777" w:rsidR="00817DB4" w:rsidRPr="009B4D5C" w:rsidRDefault="00817DB4" w:rsidP="00817DB4">
      <w:pPr>
        <w:jc w:val="both"/>
        <w:rPr>
          <w:b/>
          <w:bCs/>
          <w:i/>
          <w:iCs/>
          <w:sz w:val="22"/>
          <w:szCs w:val="22"/>
        </w:rPr>
      </w:pPr>
      <w:r w:rsidRPr="009B4D5C">
        <w:rPr>
          <w:b/>
          <w:bCs/>
          <w:i/>
          <w:iCs/>
          <w:sz w:val="22"/>
          <w:szCs w:val="22"/>
        </w:rPr>
        <w:t>Artículo 22. Usos alternativos del índice sistémico.</w:t>
      </w:r>
    </w:p>
    <w:p w14:paraId="387933F4" w14:textId="77777777" w:rsidR="00817DB4" w:rsidRPr="009B4D5C" w:rsidRDefault="00817DB4" w:rsidP="00817DB4">
      <w:pPr>
        <w:jc w:val="both"/>
        <w:rPr>
          <w:i/>
          <w:iCs/>
          <w:sz w:val="22"/>
          <w:szCs w:val="22"/>
        </w:rPr>
      </w:pPr>
    </w:p>
    <w:p w14:paraId="1CCAE98A" w14:textId="77777777" w:rsidR="00817DB4" w:rsidRPr="009B4D5C" w:rsidRDefault="00817DB4" w:rsidP="00817DB4">
      <w:pPr>
        <w:jc w:val="both"/>
        <w:rPr>
          <w:i/>
          <w:iCs/>
          <w:sz w:val="22"/>
          <w:szCs w:val="22"/>
        </w:rPr>
      </w:pPr>
      <w:r w:rsidRPr="009B4D5C">
        <w:rPr>
          <w:i/>
          <w:iCs/>
          <w:sz w:val="22"/>
          <w:szCs w:val="22"/>
        </w:rPr>
        <w:t>Las superintendencias pueden utilizar el índice sistémico de cada entidad para el establecimiento de categorías o clasificaciones distintas a la condición de importancia sistémica, las cuales tengan diferentes usos en la regulación y en los esquemas de supervisión basada en riesgos de las entidades.”</w:t>
      </w:r>
    </w:p>
    <w:p w14:paraId="2F6E1B11" w14:textId="77777777" w:rsidR="00817DB4" w:rsidRPr="009B4D5C" w:rsidRDefault="00817DB4" w:rsidP="00817DB4">
      <w:pPr>
        <w:jc w:val="both"/>
        <w:rPr>
          <w:sz w:val="22"/>
          <w:szCs w:val="22"/>
        </w:rPr>
      </w:pPr>
    </w:p>
    <w:p w14:paraId="2E111D0A" w14:textId="77777777" w:rsidR="00817DB4" w:rsidRPr="009B4D5C" w:rsidRDefault="00817DB4" w:rsidP="00817DB4">
      <w:pPr>
        <w:ind w:left="567" w:hanging="567"/>
        <w:jc w:val="both"/>
        <w:rPr>
          <w:b/>
          <w:bCs/>
          <w:sz w:val="22"/>
          <w:szCs w:val="22"/>
        </w:rPr>
      </w:pPr>
      <w:r w:rsidRPr="009B4D5C">
        <w:rPr>
          <w:b/>
          <w:bCs/>
          <w:sz w:val="22"/>
          <w:szCs w:val="22"/>
        </w:rPr>
        <w:t>VI.</w:t>
      </w:r>
      <w:r w:rsidRPr="009B4D5C">
        <w:rPr>
          <w:b/>
          <w:bCs/>
          <w:sz w:val="22"/>
          <w:szCs w:val="22"/>
        </w:rPr>
        <w:tab/>
        <w:t>Adicionar una disposición cuarta con el siguiente texto:</w:t>
      </w:r>
    </w:p>
    <w:p w14:paraId="6193D582" w14:textId="77777777" w:rsidR="00817DB4" w:rsidRPr="009B4D5C" w:rsidRDefault="00817DB4" w:rsidP="00817DB4">
      <w:pPr>
        <w:jc w:val="both"/>
        <w:rPr>
          <w:i/>
          <w:iCs/>
          <w:sz w:val="22"/>
          <w:szCs w:val="22"/>
        </w:rPr>
      </w:pPr>
    </w:p>
    <w:p w14:paraId="7F72C400" w14:textId="77777777" w:rsidR="00817DB4" w:rsidRPr="009B4D5C" w:rsidRDefault="00817DB4" w:rsidP="00817DB4">
      <w:pPr>
        <w:jc w:val="both"/>
        <w:rPr>
          <w:b/>
          <w:bCs/>
          <w:i/>
          <w:iCs/>
          <w:sz w:val="22"/>
          <w:szCs w:val="22"/>
        </w:rPr>
      </w:pPr>
      <w:r w:rsidRPr="009B4D5C">
        <w:rPr>
          <w:i/>
          <w:iCs/>
          <w:sz w:val="22"/>
          <w:szCs w:val="22"/>
        </w:rPr>
        <w:t>“</w:t>
      </w:r>
      <w:r w:rsidRPr="009B4D5C">
        <w:rPr>
          <w:b/>
          <w:bCs/>
          <w:i/>
          <w:iCs/>
          <w:sz w:val="22"/>
          <w:szCs w:val="22"/>
        </w:rPr>
        <w:t>Disposición adicional cuarta:</w:t>
      </w:r>
    </w:p>
    <w:p w14:paraId="70D623CA" w14:textId="77777777" w:rsidR="00817DB4" w:rsidRPr="009B4D5C" w:rsidRDefault="00817DB4" w:rsidP="00817DB4">
      <w:pPr>
        <w:jc w:val="both"/>
        <w:rPr>
          <w:b/>
          <w:bCs/>
          <w:i/>
          <w:iCs/>
          <w:sz w:val="22"/>
          <w:szCs w:val="22"/>
        </w:rPr>
      </w:pPr>
    </w:p>
    <w:p w14:paraId="6227FCE2" w14:textId="77777777" w:rsidR="00817DB4" w:rsidRPr="009B4D5C" w:rsidRDefault="00817DB4" w:rsidP="00817DB4">
      <w:pPr>
        <w:jc w:val="both"/>
        <w:rPr>
          <w:i/>
          <w:iCs/>
          <w:sz w:val="22"/>
          <w:szCs w:val="22"/>
        </w:rPr>
      </w:pPr>
      <w:bookmarkStart w:id="8" w:name="_Hlk152052417"/>
      <w:bookmarkStart w:id="9" w:name="_Hlk152052447"/>
      <w:r w:rsidRPr="009B4D5C">
        <w:rPr>
          <w:i/>
          <w:iCs/>
          <w:sz w:val="22"/>
          <w:szCs w:val="22"/>
        </w:rPr>
        <w:t>SUGEVAL, SUGESE, SUPEN deben realizar la primera publicación de la lista de entidades de importancia sistémica en el transcurso de los tres meses siguiente a la publicación en el Diario Oficial La Gaceta, de las reformas que amplían el alcance de esta regulación, a las entidades que supervisan.</w:t>
      </w:r>
      <w:bookmarkEnd w:id="8"/>
      <w:r w:rsidRPr="009B4D5C">
        <w:rPr>
          <w:i/>
          <w:iCs/>
          <w:sz w:val="22"/>
          <w:szCs w:val="22"/>
        </w:rPr>
        <w:t>”</w:t>
      </w:r>
    </w:p>
    <w:bookmarkEnd w:id="9"/>
    <w:p w14:paraId="331D57B9" w14:textId="77777777" w:rsidR="00817DB4" w:rsidRPr="009B4D5C" w:rsidRDefault="00817DB4" w:rsidP="00817DB4">
      <w:pPr>
        <w:jc w:val="both"/>
        <w:rPr>
          <w:i/>
          <w:iCs/>
          <w:sz w:val="22"/>
          <w:szCs w:val="22"/>
        </w:rPr>
      </w:pPr>
    </w:p>
    <w:p w14:paraId="07BB2416" w14:textId="77777777" w:rsidR="00817DB4" w:rsidRPr="009B4D5C" w:rsidRDefault="00817DB4" w:rsidP="00817DB4">
      <w:pPr>
        <w:ind w:left="567" w:hanging="567"/>
        <w:jc w:val="both"/>
        <w:rPr>
          <w:b/>
          <w:bCs/>
          <w:sz w:val="22"/>
          <w:szCs w:val="22"/>
        </w:rPr>
      </w:pPr>
      <w:bookmarkStart w:id="10" w:name="_Hlk152069206"/>
      <w:r w:rsidRPr="009B4D5C">
        <w:rPr>
          <w:b/>
          <w:bCs/>
          <w:sz w:val="22"/>
          <w:szCs w:val="22"/>
        </w:rPr>
        <w:t>VII.</w:t>
      </w:r>
      <w:r w:rsidRPr="009B4D5C">
        <w:rPr>
          <w:b/>
          <w:bCs/>
          <w:sz w:val="22"/>
          <w:szCs w:val="22"/>
        </w:rPr>
        <w:tab/>
        <w:t>Adicionar las siguientes disposiciones transitorias al Acuerdo CONASSIF 15-22 Reglamento sobre Idoneidad y Desempeño de los miembros del Órgano de Dirección y de la Alta Gerencia de Entidades y Empresas Supervisadas, de conformidad con el siguiente texto:</w:t>
      </w:r>
    </w:p>
    <w:p w14:paraId="3164053C" w14:textId="77777777" w:rsidR="00817DB4" w:rsidRPr="009B4D5C" w:rsidRDefault="00817DB4" w:rsidP="00817DB4">
      <w:pPr>
        <w:jc w:val="both"/>
        <w:rPr>
          <w:sz w:val="22"/>
          <w:szCs w:val="22"/>
        </w:rPr>
      </w:pPr>
    </w:p>
    <w:p w14:paraId="65298CD6" w14:textId="77777777" w:rsidR="00817DB4" w:rsidRPr="009B4D5C" w:rsidRDefault="00817DB4" w:rsidP="00817DB4">
      <w:pPr>
        <w:jc w:val="both"/>
        <w:rPr>
          <w:b/>
          <w:bCs/>
          <w:i/>
          <w:iCs/>
          <w:sz w:val="22"/>
          <w:szCs w:val="22"/>
        </w:rPr>
      </w:pPr>
      <w:r w:rsidRPr="009B4D5C">
        <w:rPr>
          <w:b/>
          <w:bCs/>
          <w:i/>
          <w:iCs/>
          <w:sz w:val="22"/>
          <w:szCs w:val="22"/>
        </w:rPr>
        <w:t>“Transitorio V- Actualización de políticas.</w:t>
      </w:r>
    </w:p>
    <w:p w14:paraId="060CD6DF" w14:textId="77777777" w:rsidR="00817DB4" w:rsidRPr="009B4D5C" w:rsidRDefault="00817DB4" w:rsidP="00817DB4">
      <w:pPr>
        <w:jc w:val="both"/>
        <w:rPr>
          <w:i/>
          <w:iCs/>
          <w:sz w:val="22"/>
          <w:szCs w:val="22"/>
        </w:rPr>
      </w:pPr>
      <w:r w:rsidRPr="009B4D5C">
        <w:rPr>
          <w:i/>
          <w:iCs/>
          <w:sz w:val="22"/>
          <w:szCs w:val="22"/>
        </w:rPr>
        <w:t>Las entidades supervisadas por SUGEVAL, SUPEN y SUGEVAL que sean identificadas de importancia sistémica deberán actualizar las políticas de idoneidad y evaluación del desempeño de los miembros del Órgano de Dirección y de la Alta Gerencia, seis meses después de la publicación de la lista de entidades de importancia sistémica.</w:t>
      </w:r>
    </w:p>
    <w:p w14:paraId="359BD66B" w14:textId="77777777" w:rsidR="00817DB4" w:rsidRPr="009B4D5C" w:rsidRDefault="00817DB4" w:rsidP="00817DB4">
      <w:pPr>
        <w:jc w:val="both"/>
        <w:rPr>
          <w:i/>
          <w:iCs/>
          <w:sz w:val="22"/>
          <w:szCs w:val="22"/>
        </w:rPr>
      </w:pPr>
    </w:p>
    <w:p w14:paraId="367DA38F" w14:textId="77777777" w:rsidR="00817DB4" w:rsidRPr="009B4D5C" w:rsidRDefault="00817DB4" w:rsidP="00817DB4">
      <w:pPr>
        <w:jc w:val="both"/>
        <w:rPr>
          <w:b/>
          <w:bCs/>
          <w:i/>
          <w:iCs/>
          <w:sz w:val="22"/>
          <w:szCs w:val="22"/>
        </w:rPr>
      </w:pPr>
      <w:r w:rsidRPr="009B4D5C">
        <w:rPr>
          <w:b/>
          <w:bCs/>
          <w:i/>
          <w:iCs/>
          <w:sz w:val="22"/>
          <w:szCs w:val="22"/>
        </w:rPr>
        <w:t xml:space="preserve">Transitorio VI- Plazo para la aplicación de la política de idoneidad para entidades de importancia sistémicas supervisadas por SUGEVAL, SUPEN y SUGESE. </w:t>
      </w:r>
    </w:p>
    <w:p w14:paraId="0CF872E1" w14:textId="77777777" w:rsidR="00817DB4" w:rsidRPr="009B4D5C" w:rsidRDefault="00817DB4" w:rsidP="00817DB4">
      <w:pPr>
        <w:jc w:val="both"/>
        <w:rPr>
          <w:i/>
          <w:iCs/>
          <w:sz w:val="22"/>
          <w:szCs w:val="22"/>
        </w:rPr>
      </w:pPr>
    </w:p>
    <w:p w14:paraId="325BD19E" w14:textId="77777777" w:rsidR="00817DB4" w:rsidRPr="009B4D5C" w:rsidRDefault="00817DB4" w:rsidP="00817DB4">
      <w:pPr>
        <w:jc w:val="both"/>
        <w:rPr>
          <w:i/>
          <w:iCs/>
          <w:sz w:val="22"/>
          <w:szCs w:val="22"/>
        </w:rPr>
      </w:pPr>
      <w:r w:rsidRPr="009B4D5C">
        <w:rPr>
          <w:i/>
          <w:iCs/>
          <w:sz w:val="22"/>
          <w:szCs w:val="22"/>
        </w:rPr>
        <w:lastRenderedPageBreak/>
        <w:t xml:space="preserve">La actualización de la política de idoneidad referida en el transitorio V, rige para los nombramientos y reelecciones que se efectúen a partir del sétimo mes con posterioridad a la fecha de entrada en vigor de las políticas de idoneidad actualizada.  Las entidades cuentan con un plazo máximo de seis meses, contados a partir de la aprobación de la actualización de la política de idoneidad, para proceder a su aplicación a los miembros del Órgano de Dirección y de la Alta Gerencia nombrados con anterioridad y actualizar el expediente administrativo en el que consten las calidades de las personas nombradas y se demuestre que se emplearon los criterios establecidos en el artículo 5 del presente reglamento. Si en la evaluación de una persona nombrada con anterioridad a la fecha de entrada en vigor de la actualización de la política de idoneidad, se identifican hallazgos de una atención parcial de los criterios de la política de idoneidad, la entidad debe adoptar un plan de acción que establezca medidas correctivas adecuadas para subsanar dichos hallazgos dentro del año posterior a partir de la aprobación de la actualización de la política de idoneidad. En los casos en que el hallazgo no pueda ser subsanado con medidas correctivas, estos se considerarán como una falta de idoneidad sobrevenida, según lo dispuesto en el artículo 3 de este reglamento. </w:t>
      </w:r>
    </w:p>
    <w:p w14:paraId="078576DD" w14:textId="77777777" w:rsidR="00817DB4" w:rsidRPr="009B4D5C" w:rsidRDefault="00817DB4" w:rsidP="00817DB4">
      <w:pPr>
        <w:jc w:val="both"/>
        <w:rPr>
          <w:i/>
          <w:iCs/>
          <w:sz w:val="22"/>
          <w:szCs w:val="22"/>
        </w:rPr>
      </w:pPr>
    </w:p>
    <w:p w14:paraId="262DB54F" w14:textId="77777777" w:rsidR="00817DB4" w:rsidRPr="009B4D5C" w:rsidRDefault="00817DB4" w:rsidP="00817DB4">
      <w:pPr>
        <w:jc w:val="both"/>
        <w:rPr>
          <w:b/>
          <w:bCs/>
          <w:i/>
          <w:iCs/>
          <w:sz w:val="22"/>
          <w:szCs w:val="22"/>
        </w:rPr>
      </w:pPr>
      <w:r w:rsidRPr="009B4D5C">
        <w:rPr>
          <w:b/>
          <w:bCs/>
          <w:i/>
          <w:iCs/>
          <w:sz w:val="22"/>
          <w:szCs w:val="22"/>
        </w:rPr>
        <w:t>Transitorio VII- Plazo para la aplicación de la política de evaluación de desempeño¨ para entidades de importancia sistémicas supervisadas por SUGEVAL, SUPEN y SUGESE.</w:t>
      </w:r>
    </w:p>
    <w:p w14:paraId="429153F1" w14:textId="77777777" w:rsidR="00817DB4" w:rsidRPr="009B4D5C" w:rsidRDefault="00817DB4" w:rsidP="00817DB4">
      <w:pPr>
        <w:jc w:val="both"/>
        <w:rPr>
          <w:i/>
          <w:iCs/>
          <w:sz w:val="22"/>
          <w:szCs w:val="22"/>
        </w:rPr>
      </w:pPr>
    </w:p>
    <w:p w14:paraId="5C4E1FE3" w14:textId="77777777" w:rsidR="00817DB4" w:rsidRPr="009B4D5C" w:rsidRDefault="00817DB4" w:rsidP="00817DB4">
      <w:pPr>
        <w:jc w:val="both"/>
        <w:rPr>
          <w:i/>
          <w:iCs/>
          <w:sz w:val="22"/>
          <w:szCs w:val="22"/>
        </w:rPr>
      </w:pPr>
      <w:r w:rsidRPr="009B4D5C">
        <w:rPr>
          <w:i/>
          <w:iCs/>
          <w:sz w:val="22"/>
          <w:szCs w:val="22"/>
        </w:rPr>
        <w:t>Las entidades deben aplicar la política de evaluación del desempeño actualizada, en la siguiente evaluación del desempeño después de aprobada la actualización referida en el transitorio V previo.</w:t>
      </w:r>
    </w:p>
    <w:bookmarkEnd w:id="10"/>
    <w:p w14:paraId="3C2A316A" w14:textId="77777777" w:rsidR="00817DB4" w:rsidRPr="009B4D5C" w:rsidRDefault="00817DB4" w:rsidP="00817DB4">
      <w:pPr>
        <w:jc w:val="both"/>
        <w:rPr>
          <w:i/>
          <w:iCs/>
          <w:sz w:val="22"/>
          <w:szCs w:val="22"/>
        </w:rPr>
      </w:pPr>
    </w:p>
    <w:p w14:paraId="39B68334" w14:textId="288B4E68" w:rsidR="00817DB4" w:rsidRPr="00817DB4" w:rsidRDefault="00817DB4" w:rsidP="00817DB4">
      <w:pPr>
        <w:jc w:val="both"/>
        <w:rPr>
          <w:i/>
          <w:iCs/>
          <w:sz w:val="22"/>
          <w:szCs w:val="22"/>
        </w:rPr>
      </w:pPr>
      <w:r w:rsidRPr="009B4D5C">
        <w:rPr>
          <w:i/>
          <w:iCs/>
          <w:sz w:val="22"/>
          <w:szCs w:val="22"/>
        </w:rPr>
        <w:t xml:space="preserve">Rige a partir de su publicación en el </w:t>
      </w:r>
      <w:r w:rsidR="009B4D5C">
        <w:rPr>
          <w:i/>
          <w:iCs/>
          <w:sz w:val="22"/>
          <w:szCs w:val="22"/>
        </w:rPr>
        <w:t>d</w:t>
      </w:r>
      <w:r w:rsidRPr="009B4D5C">
        <w:rPr>
          <w:i/>
          <w:iCs/>
          <w:sz w:val="22"/>
          <w:szCs w:val="22"/>
        </w:rPr>
        <w:t xml:space="preserve">iario </w:t>
      </w:r>
      <w:r w:rsidR="009B4D5C">
        <w:rPr>
          <w:i/>
          <w:iCs/>
          <w:sz w:val="22"/>
          <w:szCs w:val="22"/>
        </w:rPr>
        <w:t>o</w:t>
      </w:r>
      <w:r w:rsidRPr="009B4D5C">
        <w:rPr>
          <w:i/>
          <w:iCs/>
          <w:sz w:val="22"/>
          <w:szCs w:val="22"/>
        </w:rPr>
        <w:t>ficial La Gaceta.”</w:t>
      </w:r>
    </w:p>
    <w:p w14:paraId="29D4379C" w14:textId="77777777" w:rsidR="00817DB4" w:rsidRPr="00817DB4" w:rsidRDefault="00817DB4" w:rsidP="00817DB4">
      <w:pPr>
        <w:autoSpaceDE w:val="0"/>
        <w:autoSpaceDN w:val="0"/>
        <w:adjustRightInd w:val="0"/>
        <w:jc w:val="both"/>
        <w:rPr>
          <w:rFonts w:eastAsia="Calibri"/>
          <w:sz w:val="24"/>
          <w:szCs w:val="24"/>
          <w:lang w:eastAsia="es-CR"/>
        </w:rPr>
      </w:pPr>
    </w:p>
    <w:p w14:paraId="172DE09C" w14:textId="3393E222" w:rsidR="00A36D16" w:rsidRPr="00817DB4" w:rsidRDefault="00765228" w:rsidP="00817DB4">
      <w:pPr>
        <w:widowControl w:val="0"/>
        <w:jc w:val="both"/>
        <w:rPr>
          <w:sz w:val="24"/>
          <w:szCs w:val="24"/>
        </w:rPr>
      </w:pPr>
      <w:r w:rsidRPr="00817DB4">
        <w:rPr>
          <w:noProof/>
        </w:rPr>
        <w:drawing>
          <wp:anchor distT="0" distB="0" distL="114300" distR="114300" simplePos="0" relativeHeight="251658240" behindDoc="1" locked="0" layoutInCell="1" allowOverlap="0" wp14:anchorId="405C0F94" wp14:editId="24DC541F">
            <wp:simplePos x="0" y="0"/>
            <wp:positionH relativeFrom="column">
              <wp:posOffset>-80010</wp:posOffset>
            </wp:positionH>
            <wp:positionV relativeFrom="paragraph">
              <wp:posOffset>194945</wp:posOffset>
            </wp:positionV>
            <wp:extent cx="2295525" cy="400050"/>
            <wp:effectExtent l="0" t="0" r="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5118"/>
                    <a:stretch>
                      <a:fillRect/>
                    </a:stretch>
                  </pic:blipFill>
                  <pic:spPr bwMode="auto">
                    <a:xfrm>
                      <a:off x="0" y="0"/>
                      <a:ext cx="22955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6D16" w:rsidRPr="00817DB4">
        <w:rPr>
          <w:sz w:val="24"/>
          <w:szCs w:val="24"/>
        </w:rPr>
        <w:t>Atentamente,</w:t>
      </w:r>
    </w:p>
    <w:p w14:paraId="560E9185" w14:textId="77777777" w:rsidR="00901072" w:rsidRPr="00817DB4" w:rsidRDefault="00901072" w:rsidP="00817DB4">
      <w:pPr>
        <w:widowControl w:val="0"/>
        <w:jc w:val="both"/>
        <w:rPr>
          <w:sz w:val="24"/>
          <w:szCs w:val="24"/>
        </w:rPr>
      </w:pPr>
      <w:r w:rsidRPr="00817DB4">
        <w:rPr>
          <w:sz w:val="24"/>
          <w:szCs w:val="24"/>
        </w:rPr>
        <w:br/>
      </w:r>
    </w:p>
    <w:p w14:paraId="07F174C9" w14:textId="77777777" w:rsidR="004D6CBF" w:rsidRPr="00817DB4" w:rsidRDefault="004D6CBF" w:rsidP="00817DB4">
      <w:pPr>
        <w:widowControl w:val="0"/>
        <w:jc w:val="both"/>
        <w:rPr>
          <w:sz w:val="24"/>
          <w:szCs w:val="24"/>
        </w:rPr>
      </w:pPr>
    </w:p>
    <w:p w14:paraId="5519F1D9" w14:textId="77777777" w:rsidR="00A36D16" w:rsidRPr="00817DB4" w:rsidRDefault="00645468" w:rsidP="00817DB4">
      <w:pPr>
        <w:widowControl w:val="0"/>
        <w:jc w:val="both"/>
        <w:rPr>
          <w:sz w:val="24"/>
          <w:szCs w:val="24"/>
        </w:rPr>
      </w:pPr>
      <w:r w:rsidRPr="00817DB4">
        <w:rPr>
          <w:sz w:val="24"/>
          <w:szCs w:val="24"/>
        </w:rPr>
        <w:t>Celia Alpízar Paniagua</w:t>
      </w:r>
    </w:p>
    <w:p w14:paraId="5F5FFFD3" w14:textId="77777777" w:rsidR="00A36D16" w:rsidRPr="00817DB4" w:rsidRDefault="00A36D16" w:rsidP="00817DB4">
      <w:pPr>
        <w:widowControl w:val="0"/>
        <w:rPr>
          <w:b/>
          <w:i/>
          <w:sz w:val="24"/>
          <w:szCs w:val="24"/>
        </w:rPr>
      </w:pPr>
      <w:r w:rsidRPr="00817DB4">
        <w:rPr>
          <w:b/>
          <w:i/>
          <w:sz w:val="24"/>
          <w:szCs w:val="24"/>
        </w:rPr>
        <w:t>Secretari</w:t>
      </w:r>
      <w:r w:rsidR="004A486B" w:rsidRPr="00817DB4">
        <w:rPr>
          <w:b/>
          <w:i/>
          <w:sz w:val="24"/>
          <w:szCs w:val="24"/>
        </w:rPr>
        <w:t>a</w:t>
      </w:r>
      <w:r w:rsidRPr="00817DB4">
        <w:rPr>
          <w:b/>
          <w:i/>
          <w:sz w:val="24"/>
          <w:szCs w:val="24"/>
        </w:rPr>
        <w:t xml:space="preserve"> </w:t>
      </w:r>
      <w:r w:rsidR="00402E07" w:rsidRPr="00817DB4">
        <w:rPr>
          <w:b/>
          <w:i/>
          <w:sz w:val="24"/>
          <w:szCs w:val="24"/>
        </w:rPr>
        <w:t>i</w:t>
      </w:r>
      <w:r w:rsidR="0005722B" w:rsidRPr="00817DB4">
        <w:rPr>
          <w:b/>
          <w:i/>
          <w:sz w:val="24"/>
          <w:szCs w:val="24"/>
        </w:rPr>
        <w:t xml:space="preserve">nterina </w:t>
      </w:r>
      <w:r w:rsidRPr="00817DB4">
        <w:rPr>
          <w:b/>
          <w:i/>
          <w:sz w:val="24"/>
          <w:szCs w:val="24"/>
        </w:rPr>
        <w:t>del Consejo</w:t>
      </w:r>
    </w:p>
    <w:p w14:paraId="00E6345F" w14:textId="77777777" w:rsidR="00A36D16" w:rsidRPr="00817DB4" w:rsidRDefault="00A36D16" w:rsidP="00817DB4">
      <w:pPr>
        <w:widowControl w:val="0"/>
        <w:jc w:val="both"/>
        <w:rPr>
          <w:sz w:val="24"/>
          <w:szCs w:val="24"/>
        </w:rPr>
      </w:pPr>
    </w:p>
    <w:p w14:paraId="1A73D783" w14:textId="77777777" w:rsidR="00304CB8" w:rsidRPr="00817DB4" w:rsidRDefault="00304CB8" w:rsidP="00817DB4">
      <w:pPr>
        <w:widowControl w:val="0"/>
        <w:jc w:val="both"/>
        <w:rPr>
          <w:sz w:val="24"/>
          <w:szCs w:val="24"/>
          <w:lang w:val="es-CR"/>
        </w:rPr>
      </w:pPr>
    </w:p>
    <w:p w14:paraId="691F7C81" w14:textId="77777777" w:rsidR="00304CB8" w:rsidRPr="00817DB4" w:rsidRDefault="00304CB8" w:rsidP="00817DB4">
      <w:pPr>
        <w:widowControl w:val="0"/>
        <w:jc w:val="both"/>
        <w:rPr>
          <w:sz w:val="24"/>
          <w:szCs w:val="24"/>
          <w:lang w:val="es-CR"/>
        </w:rPr>
      </w:pPr>
    </w:p>
    <w:p w14:paraId="77F843E1" w14:textId="77777777" w:rsidR="00304CB8" w:rsidRPr="00817DB4" w:rsidRDefault="00304CB8" w:rsidP="00817DB4">
      <w:pPr>
        <w:widowControl w:val="0"/>
        <w:jc w:val="both"/>
        <w:rPr>
          <w:sz w:val="24"/>
          <w:szCs w:val="24"/>
          <w:lang w:val="es-CR"/>
        </w:rPr>
      </w:pPr>
    </w:p>
    <w:p w14:paraId="6D6A3B1A" w14:textId="77777777" w:rsidR="00957C91" w:rsidRDefault="00957C91" w:rsidP="00817DB4">
      <w:pPr>
        <w:widowControl w:val="0"/>
        <w:jc w:val="both"/>
        <w:rPr>
          <w:sz w:val="24"/>
          <w:szCs w:val="24"/>
          <w:lang w:val="es-CR"/>
        </w:rPr>
      </w:pPr>
    </w:p>
    <w:p w14:paraId="4ACE7231" w14:textId="77777777" w:rsidR="00957C91" w:rsidRDefault="00957C91" w:rsidP="00817DB4">
      <w:pPr>
        <w:widowControl w:val="0"/>
        <w:jc w:val="both"/>
        <w:rPr>
          <w:sz w:val="24"/>
          <w:szCs w:val="24"/>
          <w:lang w:val="es-CR"/>
        </w:rPr>
      </w:pPr>
    </w:p>
    <w:p w14:paraId="7FF49538" w14:textId="77777777" w:rsidR="00957C91" w:rsidRDefault="00957C91" w:rsidP="00817DB4">
      <w:pPr>
        <w:widowControl w:val="0"/>
        <w:jc w:val="both"/>
        <w:rPr>
          <w:sz w:val="24"/>
          <w:szCs w:val="24"/>
          <w:lang w:val="es-CR"/>
        </w:rPr>
      </w:pPr>
    </w:p>
    <w:p w14:paraId="50BDF525" w14:textId="77777777" w:rsidR="00957C91" w:rsidRDefault="00957C91" w:rsidP="00817DB4">
      <w:pPr>
        <w:widowControl w:val="0"/>
        <w:jc w:val="both"/>
        <w:rPr>
          <w:sz w:val="24"/>
          <w:szCs w:val="24"/>
          <w:lang w:val="es-CR"/>
        </w:rPr>
      </w:pPr>
    </w:p>
    <w:p w14:paraId="182F9C53" w14:textId="77777777" w:rsidR="00957C91" w:rsidRDefault="00957C91" w:rsidP="00817DB4">
      <w:pPr>
        <w:widowControl w:val="0"/>
        <w:jc w:val="both"/>
        <w:rPr>
          <w:sz w:val="24"/>
          <w:szCs w:val="24"/>
          <w:lang w:val="es-CR"/>
        </w:rPr>
      </w:pPr>
    </w:p>
    <w:p w14:paraId="3808AE03" w14:textId="77777777" w:rsidR="00957C91" w:rsidRDefault="00957C91" w:rsidP="00817DB4">
      <w:pPr>
        <w:widowControl w:val="0"/>
        <w:jc w:val="both"/>
        <w:rPr>
          <w:sz w:val="24"/>
          <w:szCs w:val="24"/>
          <w:lang w:val="es-CR"/>
        </w:rPr>
      </w:pPr>
    </w:p>
    <w:p w14:paraId="203505EA" w14:textId="77777777" w:rsidR="00957C91" w:rsidRPr="00817DB4" w:rsidRDefault="00957C91" w:rsidP="00817DB4">
      <w:pPr>
        <w:widowControl w:val="0"/>
        <w:jc w:val="both"/>
        <w:rPr>
          <w:sz w:val="24"/>
          <w:szCs w:val="24"/>
          <w:lang w:val="es-CR"/>
        </w:rPr>
      </w:pPr>
    </w:p>
    <w:p w14:paraId="0A50FD30" w14:textId="77777777" w:rsidR="00304CB8" w:rsidRPr="00817DB4" w:rsidRDefault="00304CB8" w:rsidP="00817DB4">
      <w:pPr>
        <w:widowControl w:val="0"/>
        <w:jc w:val="both"/>
        <w:rPr>
          <w:sz w:val="24"/>
          <w:szCs w:val="24"/>
          <w:lang w:val="es-CR"/>
        </w:rPr>
      </w:pPr>
    </w:p>
    <w:p w14:paraId="600DC405" w14:textId="77777777" w:rsidR="00304CB8" w:rsidRPr="00817DB4" w:rsidRDefault="00304CB8" w:rsidP="00817DB4">
      <w:pPr>
        <w:widowControl w:val="0"/>
        <w:jc w:val="both"/>
        <w:rPr>
          <w:sz w:val="24"/>
          <w:szCs w:val="24"/>
          <w:lang w:val="es-CR"/>
        </w:rPr>
      </w:pPr>
    </w:p>
    <w:p w14:paraId="0B25ECC1" w14:textId="77777777" w:rsidR="00304CB8" w:rsidRPr="00817DB4" w:rsidRDefault="00304CB8" w:rsidP="00817DB4">
      <w:pPr>
        <w:widowControl w:val="0"/>
        <w:jc w:val="both"/>
        <w:rPr>
          <w:sz w:val="24"/>
          <w:szCs w:val="24"/>
          <w:lang w:val="es-CR"/>
        </w:rPr>
      </w:pPr>
    </w:p>
    <w:p w14:paraId="4C238323" w14:textId="2BE99AC5" w:rsidR="00A36D16" w:rsidRPr="009B4D5C" w:rsidRDefault="00304CB8" w:rsidP="009B4D5C">
      <w:pPr>
        <w:autoSpaceDE w:val="0"/>
        <w:autoSpaceDN w:val="0"/>
        <w:adjustRightInd w:val="0"/>
        <w:ind w:left="1418" w:hanging="1418"/>
        <w:jc w:val="both"/>
        <w:rPr>
          <w:i/>
          <w:color w:val="000000" w:themeColor="text1"/>
          <w:sz w:val="16"/>
          <w:szCs w:val="16"/>
        </w:rPr>
      </w:pPr>
      <w:r w:rsidRPr="009B4D5C">
        <w:rPr>
          <w:b/>
          <w:i/>
          <w:sz w:val="16"/>
          <w:szCs w:val="16"/>
          <w:lang w:val="es-CR"/>
        </w:rPr>
        <w:t>Comunicado a:</w:t>
      </w:r>
      <w:r w:rsidRPr="009B4D5C">
        <w:rPr>
          <w:i/>
          <w:sz w:val="16"/>
          <w:szCs w:val="16"/>
          <w:lang w:val="es-CR"/>
        </w:rPr>
        <w:tab/>
      </w:r>
      <w:r w:rsidR="009B4D5C" w:rsidRPr="009B4D5C">
        <w:rPr>
          <w:i/>
          <w:sz w:val="16"/>
          <w:szCs w:val="16"/>
          <w:lang w:val="es-CR"/>
        </w:rPr>
        <w:t>S</w:t>
      </w:r>
      <w:proofErr w:type="spellStart"/>
      <w:r w:rsidR="009B4D5C" w:rsidRPr="009B4D5C">
        <w:rPr>
          <w:i/>
          <w:color w:val="000000" w:themeColor="text1"/>
          <w:sz w:val="16"/>
          <w:szCs w:val="16"/>
        </w:rPr>
        <w:t>upervisados</w:t>
      </w:r>
      <w:proofErr w:type="spellEnd"/>
      <w:r w:rsidR="009B4D5C" w:rsidRPr="009B4D5C">
        <w:rPr>
          <w:i/>
          <w:color w:val="000000" w:themeColor="text1"/>
          <w:sz w:val="16"/>
          <w:szCs w:val="16"/>
        </w:rPr>
        <w:t xml:space="preserve"> Sugeval, supervisados Sugese, supervisados Supen (c.a. Sugeval, Sugese, Supen, intendencias, Auditoría Interna</w:t>
      </w:r>
      <w:r w:rsidR="009B4D5C" w:rsidRPr="009B4D5C">
        <w:rPr>
          <w:bCs/>
          <w:i/>
          <w:color w:val="000000" w:themeColor="text1"/>
          <w:sz w:val="16"/>
          <w:szCs w:val="16"/>
        </w:rPr>
        <w:t>).</w:t>
      </w:r>
    </w:p>
    <w:sectPr w:rsidR="00A36D16" w:rsidRPr="009B4D5C" w:rsidSect="001D0382">
      <w:headerReference w:type="default" r:id="rId13"/>
      <w:footerReference w:type="default" r:id="rId14"/>
      <w:headerReference w:type="first" r:id="rId15"/>
      <w:footerReference w:type="first" r:id="rId16"/>
      <w:pgSz w:w="12240" w:h="15840"/>
      <w:pgMar w:top="1812"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3368" w14:textId="77777777" w:rsidR="00346855" w:rsidRDefault="00346855" w:rsidP="00290A93">
      <w:r>
        <w:separator/>
      </w:r>
    </w:p>
  </w:endnote>
  <w:endnote w:type="continuationSeparator" w:id="0">
    <w:p w14:paraId="787C927D" w14:textId="77777777" w:rsidR="00346855" w:rsidRDefault="00346855" w:rsidP="00290A93">
      <w:r>
        <w:continuationSeparator/>
      </w:r>
    </w:p>
  </w:endnote>
  <w:endnote w:type="continuationNotice" w:id="1">
    <w:p w14:paraId="7946EA30" w14:textId="77777777" w:rsidR="000F31F2" w:rsidRDefault="000F3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onet">
    <w:altName w:val="Calibri"/>
    <w:charset w:val="00"/>
    <w:family w:val="script"/>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R-01T">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Roman">
    <w:panose1 w:val="00000000000000000000"/>
    <w:charset w:val="FF"/>
    <w:family w:val="roman"/>
    <w:notTrueType/>
    <w:pitch w:val="variable"/>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7228F" w14:textId="425F1E01" w:rsidR="001D0382" w:rsidRDefault="00765228">
    <w:pPr>
      <w:pStyle w:val="Piedepgina"/>
      <w:jc w:val="right"/>
    </w:pPr>
    <w:r>
      <w:rPr>
        <w:noProof/>
      </w:rPr>
      <mc:AlternateContent>
        <mc:Choice Requires="wps">
          <w:drawing>
            <wp:anchor distT="0" distB="0" distL="114300" distR="114300" simplePos="0" relativeHeight="251658242" behindDoc="0" locked="0" layoutInCell="0" allowOverlap="1" wp14:anchorId="2A28FFC1" wp14:editId="1C7EAA7C">
              <wp:simplePos x="0" y="0"/>
              <wp:positionH relativeFrom="page">
                <wp:posOffset>0</wp:posOffset>
              </wp:positionH>
              <wp:positionV relativeFrom="page">
                <wp:posOffset>9594215</wp:posOffset>
              </wp:positionV>
              <wp:extent cx="7772400" cy="273685"/>
              <wp:effectExtent l="0" t="2540" r="0" b="0"/>
              <wp:wrapNone/>
              <wp:docPr id="1" name="MSIPCM72a044bb812d96518f8bb8cf" descr="{&quot;HashCode&quot;:1186230005,&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1DA6C" w14:textId="77777777" w:rsidR="00526CDD" w:rsidRPr="00526CDD" w:rsidRDefault="00526CDD" w:rsidP="00526CDD">
                          <w:pPr>
                            <w:jc w:val="center"/>
                            <w:rPr>
                              <w:rFonts w:ascii="Calibri" w:hAnsi="Calibri" w:cs="Calibri"/>
                              <w:color w:val="000000"/>
                            </w:rPr>
                          </w:pPr>
                          <w:r w:rsidRPr="00526CDD">
                            <w:rPr>
                              <w:rFonts w:ascii="Calibri" w:hAnsi="Calibri" w:cs="Calibri"/>
                              <w:color w:val="000000"/>
                            </w:rPr>
                            <w:t>Uso Interno</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8FFC1" id="_x0000_t202" coordsize="21600,21600" o:spt="202" path="m,l,21600r21600,l21600,xe">
              <v:stroke joinstyle="miter"/>
              <v:path gradientshapeok="t" o:connecttype="rect"/>
            </v:shapetype>
            <v:shape id="MSIPCM72a044bb812d96518f8bb8cf" o:spid="_x0000_s1026" type="#_x0000_t202" alt="{&quot;HashCode&quot;:1186230005,&quot;Height&quot;:792.0,&quot;Width&quot;:612.0,&quot;Placement&quot;:&quot;Footer&quot;,&quot;Index&quot;:&quot;Primary&quot;,&quot;Section&quot;:1,&quot;Top&quot;:0.0,&quot;Left&quot;:0.0}" style="position:absolute;left:0;text-align:left;margin-left:0;margin-top:755.45pt;width:612pt;height:2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" o:allowincell="f" filled="f" stroked="f">
              <v:textbox inset=",0,,0">
                <w:txbxContent>
                  <w:p w14:paraId="47E1DA6C" w14:textId="77777777" w:rsidR="00526CDD" w:rsidRPr="00526CDD" w:rsidRDefault="00526CDD" w:rsidP="00526CDD">
                    <w:pPr>
                      <w:jc w:val="center"/>
                      <w:rPr>
                        <w:rFonts w:ascii="Calibri" w:hAnsi="Calibri" w:cs="Calibri"/>
                        <w:color w:val="000000"/>
                      </w:rPr>
                    </w:pPr>
                    <w:r w:rsidRPr="00526CDD">
                      <w:rPr>
                        <w:rFonts w:ascii="Calibri" w:hAnsi="Calibri" w:cs="Calibri"/>
                        <w:color w:val="000000"/>
                      </w:rPr>
                      <w:t>Uso Interno</w:t>
                    </w:r>
                  </w:p>
                </w:txbxContent>
              </v:textbox>
              <w10:wrap anchorx="page" anchory="page"/>
            </v:shape>
          </w:pict>
        </mc:Fallback>
      </mc:AlternateContent>
    </w:r>
    <w:r w:rsidR="001D0382">
      <w:fldChar w:fldCharType="begin"/>
    </w:r>
    <w:r w:rsidR="001D0382">
      <w:instrText>PAGE   \* MERGEFORMAT</w:instrText>
    </w:r>
    <w:r w:rsidR="001D0382">
      <w:fldChar w:fldCharType="separate"/>
    </w:r>
    <w:r w:rsidR="001D0382">
      <w:t>2</w:t>
    </w:r>
    <w:r w:rsidR="001D0382">
      <w:fldChar w:fldCharType="end"/>
    </w:r>
  </w:p>
  <w:p w14:paraId="7B058E27" w14:textId="77777777" w:rsidR="003F16A6" w:rsidRDefault="003F16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3FF0" w14:textId="77777777" w:rsidR="003F16A6" w:rsidRDefault="003F16A6">
    <w:pPr>
      <w:pStyle w:val="Piedepgina"/>
      <w:jc w:val="center"/>
    </w:pPr>
    <w:r>
      <w:fldChar w:fldCharType="begin"/>
    </w:r>
    <w:r>
      <w:instrText>PAGE   \* MERGEFORMAT</w:instrText>
    </w:r>
    <w:r>
      <w:fldChar w:fldCharType="separate"/>
    </w:r>
    <w:r>
      <w:t>2</w:t>
    </w:r>
    <w:r>
      <w:fldChar w:fldCharType="end"/>
    </w:r>
  </w:p>
  <w:p w14:paraId="0D069B87" w14:textId="77777777" w:rsidR="001D683F" w:rsidRDefault="001D68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517C1" w14:textId="77777777" w:rsidR="00346855" w:rsidRDefault="00346855" w:rsidP="00290A93">
      <w:r>
        <w:separator/>
      </w:r>
    </w:p>
  </w:footnote>
  <w:footnote w:type="continuationSeparator" w:id="0">
    <w:p w14:paraId="62D1205F" w14:textId="77777777" w:rsidR="00346855" w:rsidRDefault="00346855" w:rsidP="00290A93">
      <w:r>
        <w:continuationSeparator/>
      </w:r>
    </w:p>
  </w:footnote>
  <w:footnote w:type="continuationNotice" w:id="1">
    <w:p w14:paraId="383284A6" w14:textId="77777777" w:rsidR="000F31F2" w:rsidRDefault="000F31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2967" w14:textId="50030EBC" w:rsidR="00D33020" w:rsidRDefault="00765228">
    <w:pPr>
      <w:pStyle w:val="Encabezado"/>
    </w:pPr>
    <w:r>
      <w:rPr>
        <w:noProof/>
        <w:lang w:val="es-CR" w:eastAsia="es-CR"/>
      </w:rPr>
      <w:drawing>
        <wp:anchor distT="0" distB="0" distL="114300" distR="114300" simplePos="0" relativeHeight="251658240" behindDoc="0" locked="0" layoutInCell="1" allowOverlap="1" wp14:anchorId="533EC56E" wp14:editId="6C428C08">
          <wp:simplePos x="0" y="0"/>
          <wp:positionH relativeFrom="column">
            <wp:posOffset>-8255</wp:posOffset>
          </wp:positionH>
          <wp:positionV relativeFrom="paragraph">
            <wp:posOffset>-15875</wp:posOffset>
          </wp:positionV>
          <wp:extent cx="4750435" cy="51054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0435" cy="510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8571F" w14:textId="03C3BE2B" w:rsidR="001D683F" w:rsidRDefault="00765228">
    <w:pPr>
      <w:pStyle w:val="Encabezado"/>
    </w:pPr>
    <w:r>
      <w:rPr>
        <w:noProof/>
      </w:rPr>
      <w:drawing>
        <wp:anchor distT="0" distB="0" distL="114300" distR="114300" simplePos="0" relativeHeight="251658241" behindDoc="0" locked="0" layoutInCell="1" allowOverlap="1" wp14:anchorId="01E84D15" wp14:editId="3F74ED63">
          <wp:simplePos x="0" y="0"/>
          <wp:positionH relativeFrom="column">
            <wp:posOffset>-423545</wp:posOffset>
          </wp:positionH>
          <wp:positionV relativeFrom="paragraph">
            <wp:posOffset>-104775</wp:posOffset>
          </wp:positionV>
          <wp:extent cx="4750435" cy="510540"/>
          <wp:effectExtent l="0" t="0" r="0" b="0"/>
          <wp:wrapSquare wrapText="bothSides"/>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0435" cy="510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956D7"/>
    <w:multiLevelType w:val="hybridMultilevel"/>
    <w:tmpl w:val="45DC66D6"/>
    <w:lvl w:ilvl="0" w:tplc="2DC2C11C">
      <w:start w:val="1"/>
      <w:numFmt w:val="lowerLetter"/>
      <w:lvlText w:val="%1)"/>
      <w:lvlJc w:val="left"/>
      <w:pPr>
        <w:ind w:left="1065" w:hanging="705"/>
      </w:pPr>
      <w:rPr>
        <w:rFonts w:ascii="Cambria" w:hAnsi="Cambria" w:cs="Times New Roman" w:hint="default"/>
        <w:sz w:val="24"/>
      </w:rPr>
    </w:lvl>
    <w:lvl w:ilvl="1" w:tplc="140A001B">
      <w:start w:val="1"/>
      <w:numFmt w:val="lowerRoman"/>
      <w:lvlText w:val="%2."/>
      <w:lvlJc w:val="righ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B9235E3"/>
    <w:multiLevelType w:val="hybridMultilevel"/>
    <w:tmpl w:val="1F0C85F4"/>
    <w:lvl w:ilvl="0" w:tplc="0D781B18">
      <w:start w:val="1"/>
      <w:numFmt w:val="upperLetter"/>
      <w:lvlText w:val="%1."/>
      <w:lvlJc w:val="left"/>
      <w:pPr>
        <w:ind w:left="1065" w:hanging="705"/>
      </w:pPr>
      <w:rPr>
        <w:rFonts w:hint="default"/>
      </w:rPr>
    </w:lvl>
    <w:lvl w:ilvl="1" w:tplc="0C0A001B">
      <w:start w:val="1"/>
      <w:numFmt w:val="lowerRoman"/>
      <w:lvlText w:val="%2."/>
      <w:lvlJc w:val="right"/>
      <w:pPr>
        <w:ind w:left="1440" w:hanging="360"/>
      </w:pPr>
    </w:lvl>
    <w:lvl w:ilvl="2" w:tplc="7B644D34">
      <w:start w:val="2"/>
      <w:numFmt w:val="bullet"/>
      <w:lvlText w:val="-"/>
      <w:lvlJc w:val="left"/>
      <w:pPr>
        <w:ind w:left="2340" w:hanging="360"/>
      </w:pPr>
      <w:rPr>
        <w:rFonts w:ascii="Courier New" w:eastAsia="Times New Roman" w:hAnsi="Courier New" w:cs="Courier New" w:hint="default"/>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A1E4AB2"/>
    <w:multiLevelType w:val="hybridMultilevel"/>
    <w:tmpl w:val="6E2036CA"/>
    <w:lvl w:ilvl="0" w:tplc="6BF61678">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52B53A37"/>
    <w:multiLevelType w:val="hybridMultilevel"/>
    <w:tmpl w:val="BA04CD0A"/>
    <w:lvl w:ilvl="0" w:tplc="4FFE30AC">
      <w:start w:val="1"/>
      <w:numFmt w:val="lowerRoman"/>
      <w:lvlText w:val="%1."/>
      <w:lvlJc w:val="left"/>
      <w:pPr>
        <w:ind w:left="2139" w:hanging="720"/>
      </w:pPr>
      <w:rPr>
        <w:rFonts w:hint="default"/>
      </w:rPr>
    </w:lvl>
    <w:lvl w:ilvl="1" w:tplc="140A0019" w:tentative="1">
      <w:start w:val="1"/>
      <w:numFmt w:val="lowerLetter"/>
      <w:lvlText w:val="%2."/>
      <w:lvlJc w:val="left"/>
      <w:pPr>
        <w:ind w:left="2499" w:hanging="360"/>
      </w:pPr>
    </w:lvl>
    <w:lvl w:ilvl="2" w:tplc="140A001B" w:tentative="1">
      <w:start w:val="1"/>
      <w:numFmt w:val="lowerRoman"/>
      <w:lvlText w:val="%3."/>
      <w:lvlJc w:val="right"/>
      <w:pPr>
        <w:ind w:left="3219" w:hanging="180"/>
      </w:pPr>
    </w:lvl>
    <w:lvl w:ilvl="3" w:tplc="140A000F" w:tentative="1">
      <w:start w:val="1"/>
      <w:numFmt w:val="decimal"/>
      <w:lvlText w:val="%4."/>
      <w:lvlJc w:val="left"/>
      <w:pPr>
        <w:ind w:left="3939" w:hanging="360"/>
      </w:pPr>
    </w:lvl>
    <w:lvl w:ilvl="4" w:tplc="140A0019" w:tentative="1">
      <w:start w:val="1"/>
      <w:numFmt w:val="lowerLetter"/>
      <w:lvlText w:val="%5."/>
      <w:lvlJc w:val="left"/>
      <w:pPr>
        <w:ind w:left="4659" w:hanging="360"/>
      </w:pPr>
    </w:lvl>
    <w:lvl w:ilvl="5" w:tplc="140A001B" w:tentative="1">
      <w:start w:val="1"/>
      <w:numFmt w:val="lowerRoman"/>
      <w:lvlText w:val="%6."/>
      <w:lvlJc w:val="right"/>
      <w:pPr>
        <w:ind w:left="5379" w:hanging="180"/>
      </w:pPr>
    </w:lvl>
    <w:lvl w:ilvl="6" w:tplc="140A000F" w:tentative="1">
      <w:start w:val="1"/>
      <w:numFmt w:val="decimal"/>
      <w:lvlText w:val="%7."/>
      <w:lvlJc w:val="left"/>
      <w:pPr>
        <w:ind w:left="6099" w:hanging="360"/>
      </w:pPr>
    </w:lvl>
    <w:lvl w:ilvl="7" w:tplc="140A0019" w:tentative="1">
      <w:start w:val="1"/>
      <w:numFmt w:val="lowerLetter"/>
      <w:lvlText w:val="%8."/>
      <w:lvlJc w:val="left"/>
      <w:pPr>
        <w:ind w:left="6819" w:hanging="360"/>
      </w:pPr>
    </w:lvl>
    <w:lvl w:ilvl="8" w:tplc="140A001B" w:tentative="1">
      <w:start w:val="1"/>
      <w:numFmt w:val="lowerRoman"/>
      <w:lvlText w:val="%9."/>
      <w:lvlJc w:val="right"/>
      <w:pPr>
        <w:ind w:left="7539" w:hanging="180"/>
      </w:pPr>
    </w:lvl>
  </w:abstractNum>
  <w:abstractNum w:abstractNumId="4" w15:restartNumberingAfterBreak="0">
    <w:nsid w:val="561B1E44"/>
    <w:multiLevelType w:val="hybridMultilevel"/>
    <w:tmpl w:val="3AC050AA"/>
    <w:lvl w:ilvl="0" w:tplc="7026E906">
      <w:start w:val="1"/>
      <w:numFmt w:val="decimal"/>
      <w:pStyle w:val="Listaconnmeros"/>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4BF4925"/>
    <w:multiLevelType w:val="hybridMultilevel"/>
    <w:tmpl w:val="96BC1F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C6243C"/>
    <w:multiLevelType w:val="hybridMultilevel"/>
    <w:tmpl w:val="DDC0C034"/>
    <w:lvl w:ilvl="0" w:tplc="042AFDF2">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6A714D06"/>
    <w:multiLevelType w:val="hybridMultilevel"/>
    <w:tmpl w:val="ECF4F8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D0451EC"/>
    <w:multiLevelType w:val="hybridMultilevel"/>
    <w:tmpl w:val="162E5676"/>
    <w:lvl w:ilvl="0" w:tplc="140A0001">
      <w:start w:val="1"/>
      <w:numFmt w:val="bullet"/>
      <w:lvlText w:val=""/>
      <w:lvlJc w:val="left"/>
      <w:pPr>
        <w:ind w:left="1146" w:hanging="720"/>
      </w:pPr>
      <w:rPr>
        <w:rFonts w:ascii="Symbol" w:hAnsi="Symbol"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num w:numId="1" w16cid:durableId="568153518">
    <w:abstractNumId w:val="4"/>
  </w:num>
  <w:num w:numId="2" w16cid:durableId="1197236836">
    <w:abstractNumId w:val="5"/>
  </w:num>
  <w:num w:numId="3" w16cid:durableId="1506238936">
    <w:abstractNumId w:val="7"/>
  </w:num>
  <w:num w:numId="4" w16cid:durableId="1849060848">
    <w:abstractNumId w:val="1"/>
  </w:num>
  <w:num w:numId="5" w16cid:durableId="1517618938">
    <w:abstractNumId w:val="2"/>
  </w:num>
  <w:num w:numId="6" w16cid:durableId="1430808338">
    <w:abstractNumId w:val="6"/>
  </w:num>
  <w:num w:numId="7" w16cid:durableId="1643730592">
    <w:abstractNumId w:val="0"/>
  </w:num>
  <w:num w:numId="8" w16cid:durableId="32194333">
    <w:abstractNumId w:val="3"/>
  </w:num>
  <w:num w:numId="9" w16cid:durableId="12366719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93"/>
    <w:rsid w:val="00001F07"/>
    <w:rsid w:val="00002DD0"/>
    <w:rsid w:val="00003F70"/>
    <w:rsid w:val="00004CF9"/>
    <w:rsid w:val="00007E89"/>
    <w:rsid w:val="00010980"/>
    <w:rsid w:val="00014E33"/>
    <w:rsid w:val="00017364"/>
    <w:rsid w:val="000219AD"/>
    <w:rsid w:val="00021C63"/>
    <w:rsid w:val="0002439A"/>
    <w:rsid w:val="000246D3"/>
    <w:rsid w:val="00025CFD"/>
    <w:rsid w:val="000316EA"/>
    <w:rsid w:val="00033232"/>
    <w:rsid w:val="00034565"/>
    <w:rsid w:val="0004418E"/>
    <w:rsid w:val="00044B4C"/>
    <w:rsid w:val="000474DE"/>
    <w:rsid w:val="000474E7"/>
    <w:rsid w:val="0005129D"/>
    <w:rsid w:val="00051CAE"/>
    <w:rsid w:val="0005579D"/>
    <w:rsid w:val="0005722B"/>
    <w:rsid w:val="00057E08"/>
    <w:rsid w:val="000642A5"/>
    <w:rsid w:val="00065058"/>
    <w:rsid w:val="00066413"/>
    <w:rsid w:val="00071CE5"/>
    <w:rsid w:val="00073BE3"/>
    <w:rsid w:val="000747C4"/>
    <w:rsid w:val="000770A8"/>
    <w:rsid w:val="00085D4E"/>
    <w:rsid w:val="00086130"/>
    <w:rsid w:val="00086DD5"/>
    <w:rsid w:val="000900A2"/>
    <w:rsid w:val="00091091"/>
    <w:rsid w:val="00091D6D"/>
    <w:rsid w:val="000936B0"/>
    <w:rsid w:val="00094091"/>
    <w:rsid w:val="00095B79"/>
    <w:rsid w:val="000A0034"/>
    <w:rsid w:val="000A1B48"/>
    <w:rsid w:val="000A1C6B"/>
    <w:rsid w:val="000A63A7"/>
    <w:rsid w:val="000A6474"/>
    <w:rsid w:val="000B03FB"/>
    <w:rsid w:val="000B3D80"/>
    <w:rsid w:val="000B5E64"/>
    <w:rsid w:val="000B70FC"/>
    <w:rsid w:val="000C24EC"/>
    <w:rsid w:val="000C4712"/>
    <w:rsid w:val="000C4918"/>
    <w:rsid w:val="000C6280"/>
    <w:rsid w:val="000C6455"/>
    <w:rsid w:val="000C6754"/>
    <w:rsid w:val="000C782F"/>
    <w:rsid w:val="000C7AB3"/>
    <w:rsid w:val="000C7B97"/>
    <w:rsid w:val="000D127C"/>
    <w:rsid w:val="000D6775"/>
    <w:rsid w:val="000D6F45"/>
    <w:rsid w:val="000D7CDB"/>
    <w:rsid w:val="000E0D82"/>
    <w:rsid w:val="000E141A"/>
    <w:rsid w:val="000E18F8"/>
    <w:rsid w:val="000E408E"/>
    <w:rsid w:val="000E40C9"/>
    <w:rsid w:val="000E68CE"/>
    <w:rsid w:val="000F31F2"/>
    <w:rsid w:val="000F3343"/>
    <w:rsid w:val="000F5013"/>
    <w:rsid w:val="000F78F6"/>
    <w:rsid w:val="0010096D"/>
    <w:rsid w:val="0010567E"/>
    <w:rsid w:val="001141CF"/>
    <w:rsid w:val="0011588F"/>
    <w:rsid w:val="00115EB1"/>
    <w:rsid w:val="00117BB7"/>
    <w:rsid w:val="00120124"/>
    <w:rsid w:val="00122CCE"/>
    <w:rsid w:val="00123B6F"/>
    <w:rsid w:val="0013144C"/>
    <w:rsid w:val="001354EF"/>
    <w:rsid w:val="00136319"/>
    <w:rsid w:val="00136386"/>
    <w:rsid w:val="001365A9"/>
    <w:rsid w:val="001369A7"/>
    <w:rsid w:val="00144DC8"/>
    <w:rsid w:val="001464FA"/>
    <w:rsid w:val="00151C33"/>
    <w:rsid w:val="00151EF2"/>
    <w:rsid w:val="00151F6C"/>
    <w:rsid w:val="001550C2"/>
    <w:rsid w:val="001554AB"/>
    <w:rsid w:val="00156FB0"/>
    <w:rsid w:val="00157A7A"/>
    <w:rsid w:val="00157FDD"/>
    <w:rsid w:val="00161363"/>
    <w:rsid w:val="00162ECC"/>
    <w:rsid w:val="00166B18"/>
    <w:rsid w:val="001728AD"/>
    <w:rsid w:val="001734F5"/>
    <w:rsid w:val="00174487"/>
    <w:rsid w:val="00181B1C"/>
    <w:rsid w:val="001826CC"/>
    <w:rsid w:val="001859BC"/>
    <w:rsid w:val="00191692"/>
    <w:rsid w:val="00191C29"/>
    <w:rsid w:val="00192661"/>
    <w:rsid w:val="001930BD"/>
    <w:rsid w:val="001944C9"/>
    <w:rsid w:val="001951B5"/>
    <w:rsid w:val="001963C5"/>
    <w:rsid w:val="00197E5D"/>
    <w:rsid w:val="001A1AE5"/>
    <w:rsid w:val="001A2930"/>
    <w:rsid w:val="001A3312"/>
    <w:rsid w:val="001A3BC6"/>
    <w:rsid w:val="001A4A9B"/>
    <w:rsid w:val="001A570E"/>
    <w:rsid w:val="001A7088"/>
    <w:rsid w:val="001A77EB"/>
    <w:rsid w:val="001B0B6C"/>
    <w:rsid w:val="001B1501"/>
    <w:rsid w:val="001B2D2B"/>
    <w:rsid w:val="001B318F"/>
    <w:rsid w:val="001B48F5"/>
    <w:rsid w:val="001B49BB"/>
    <w:rsid w:val="001B6F0F"/>
    <w:rsid w:val="001C7EDE"/>
    <w:rsid w:val="001D0382"/>
    <w:rsid w:val="001D2F64"/>
    <w:rsid w:val="001D3296"/>
    <w:rsid w:val="001D683F"/>
    <w:rsid w:val="001D7998"/>
    <w:rsid w:val="001E3BA6"/>
    <w:rsid w:val="001E4BAA"/>
    <w:rsid w:val="001E4FE7"/>
    <w:rsid w:val="001E5104"/>
    <w:rsid w:val="001E5831"/>
    <w:rsid w:val="001E7A64"/>
    <w:rsid w:val="001F04C9"/>
    <w:rsid w:val="001F187F"/>
    <w:rsid w:val="001F1D92"/>
    <w:rsid w:val="001F3F5C"/>
    <w:rsid w:val="00201B60"/>
    <w:rsid w:val="00201E0C"/>
    <w:rsid w:val="002021D8"/>
    <w:rsid w:val="002033D4"/>
    <w:rsid w:val="00206D06"/>
    <w:rsid w:val="00215770"/>
    <w:rsid w:val="00216AC6"/>
    <w:rsid w:val="00216FEA"/>
    <w:rsid w:val="00224F93"/>
    <w:rsid w:val="002261E0"/>
    <w:rsid w:val="002323F4"/>
    <w:rsid w:val="002340E7"/>
    <w:rsid w:val="00234373"/>
    <w:rsid w:val="00240132"/>
    <w:rsid w:val="00240B66"/>
    <w:rsid w:val="00242C4B"/>
    <w:rsid w:val="00242D16"/>
    <w:rsid w:val="00245F3E"/>
    <w:rsid w:val="00251960"/>
    <w:rsid w:val="002526DB"/>
    <w:rsid w:val="00252C38"/>
    <w:rsid w:val="002539D6"/>
    <w:rsid w:val="00262C58"/>
    <w:rsid w:val="002633E2"/>
    <w:rsid w:val="0026542C"/>
    <w:rsid w:val="002664B6"/>
    <w:rsid w:val="0027219C"/>
    <w:rsid w:val="002746FA"/>
    <w:rsid w:val="0027633C"/>
    <w:rsid w:val="00276D74"/>
    <w:rsid w:val="00280B4B"/>
    <w:rsid w:val="00282205"/>
    <w:rsid w:val="00282DB5"/>
    <w:rsid w:val="00283E1E"/>
    <w:rsid w:val="00290803"/>
    <w:rsid w:val="00290A93"/>
    <w:rsid w:val="00291E8B"/>
    <w:rsid w:val="00294C7E"/>
    <w:rsid w:val="002971C2"/>
    <w:rsid w:val="002A097B"/>
    <w:rsid w:val="002A187C"/>
    <w:rsid w:val="002A237B"/>
    <w:rsid w:val="002A470C"/>
    <w:rsid w:val="002A5131"/>
    <w:rsid w:val="002A5E69"/>
    <w:rsid w:val="002A6D44"/>
    <w:rsid w:val="002B09DE"/>
    <w:rsid w:val="002B24E5"/>
    <w:rsid w:val="002B3DA2"/>
    <w:rsid w:val="002B43B7"/>
    <w:rsid w:val="002B52E4"/>
    <w:rsid w:val="002B5B3E"/>
    <w:rsid w:val="002C13C1"/>
    <w:rsid w:val="002C2AAB"/>
    <w:rsid w:val="002C2F98"/>
    <w:rsid w:val="002C443C"/>
    <w:rsid w:val="002C6BD8"/>
    <w:rsid w:val="002D09EA"/>
    <w:rsid w:val="002D103D"/>
    <w:rsid w:val="002D4181"/>
    <w:rsid w:val="002D55D1"/>
    <w:rsid w:val="002E14FE"/>
    <w:rsid w:val="002E21B1"/>
    <w:rsid w:val="002E22DE"/>
    <w:rsid w:val="002E44B3"/>
    <w:rsid w:val="002E7DD4"/>
    <w:rsid w:val="002F3573"/>
    <w:rsid w:val="002F4A53"/>
    <w:rsid w:val="002F4EA5"/>
    <w:rsid w:val="002F526C"/>
    <w:rsid w:val="002F75F0"/>
    <w:rsid w:val="00304CB8"/>
    <w:rsid w:val="00305B79"/>
    <w:rsid w:val="00306733"/>
    <w:rsid w:val="00307EAA"/>
    <w:rsid w:val="00314438"/>
    <w:rsid w:val="003200D8"/>
    <w:rsid w:val="003253EA"/>
    <w:rsid w:val="00326670"/>
    <w:rsid w:val="00326F27"/>
    <w:rsid w:val="0033213C"/>
    <w:rsid w:val="00334BEC"/>
    <w:rsid w:val="00336339"/>
    <w:rsid w:val="003418C1"/>
    <w:rsid w:val="00341955"/>
    <w:rsid w:val="003464C0"/>
    <w:rsid w:val="00346855"/>
    <w:rsid w:val="0034727B"/>
    <w:rsid w:val="00350DA3"/>
    <w:rsid w:val="00350DCE"/>
    <w:rsid w:val="003510A8"/>
    <w:rsid w:val="00360F26"/>
    <w:rsid w:val="00366355"/>
    <w:rsid w:val="003673FA"/>
    <w:rsid w:val="00370207"/>
    <w:rsid w:val="00370CDF"/>
    <w:rsid w:val="00371011"/>
    <w:rsid w:val="0037117E"/>
    <w:rsid w:val="00372010"/>
    <w:rsid w:val="0037257E"/>
    <w:rsid w:val="003737A5"/>
    <w:rsid w:val="0037420C"/>
    <w:rsid w:val="0038143A"/>
    <w:rsid w:val="00381A14"/>
    <w:rsid w:val="00383C0C"/>
    <w:rsid w:val="0038579F"/>
    <w:rsid w:val="003905C9"/>
    <w:rsid w:val="003946DA"/>
    <w:rsid w:val="00395227"/>
    <w:rsid w:val="00396033"/>
    <w:rsid w:val="003965E9"/>
    <w:rsid w:val="00396BC0"/>
    <w:rsid w:val="003A2A93"/>
    <w:rsid w:val="003A46CC"/>
    <w:rsid w:val="003A61C1"/>
    <w:rsid w:val="003A6CBD"/>
    <w:rsid w:val="003B076C"/>
    <w:rsid w:val="003B0F7D"/>
    <w:rsid w:val="003B48F4"/>
    <w:rsid w:val="003B50B2"/>
    <w:rsid w:val="003B6CFC"/>
    <w:rsid w:val="003B6FB3"/>
    <w:rsid w:val="003B7EF6"/>
    <w:rsid w:val="003C0269"/>
    <w:rsid w:val="003C039E"/>
    <w:rsid w:val="003C2994"/>
    <w:rsid w:val="003C5D1E"/>
    <w:rsid w:val="003C6682"/>
    <w:rsid w:val="003C6EC5"/>
    <w:rsid w:val="003D2F9A"/>
    <w:rsid w:val="003D5938"/>
    <w:rsid w:val="003E0F58"/>
    <w:rsid w:val="003E22F7"/>
    <w:rsid w:val="003E24CE"/>
    <w:rsid w:val="003E507C"/>
    <w:rsid w:val="003E631E"/>
    <w:rsid w:val="003E7B93"/>
    <w:rsid w:val="003F16A6"/>
    <w:rsid w:val="003F1E3A"/>
    <w:rsid w:val="003F39CD"/>
    <w:rsid w:val="003F3E4C"/>
    <w:rsid w:val="003F4788"/>
    <w:rsid w:val="003F553B"/>
    <w:rsid w:val="003F5A1C"/>
    <w:rsid w:val="003F5CFB"/>
    <w:rsid w:val="003F62CA"/>
    <w:rsid w:val="003F64B1"/>
    <w:rsid w:val="003F7295"/>
    <w:rsid w:val="003F7AC5"/>
    <w:rsid w:val="003F7E55"/>
    <w:rsid w:val="0040086B"/>
    <w:rsid w:val="004017C0"/>
    <w:rsid w:val="00402E07"/>
    <w:rsid w:val="004066D4"/>
    <w:rsid w:val="0041199F"/>
    <w:rsid w:val="004123DD"/>
    <w:rsid w:val="0041325F"/>
    <w:rsid w:val="00413FF2"/>
    <w:rsid w:val="004158B7"/>
    <w:rsid w:val="00416E63"/>
    <w:rsid w:val="004170AD"/>
    <w:rsid w:val="00417778"/>
    <w:rsid w:val="0042132B"/>
    <w:rsid w:val="00421582"/>
    <w:rsid w:val="00423E0B"/>
    <w:rsid w:val="00423E7D"/>
    <w:rsid w:val="0042682A"/>
    <w:rsid w:val="004279BF"/>
    <w:rsid w:val="004303A3"/>
    <w:rsid w:val="0043176A"/>
    <w:rsid w:val="00433E4C"/>
    <w:rsid w:val="004355D1"/>
    <w:rsid w:val="004404BD"/>
    <w:rsid w:val="004405A9"/>
    <w:rsid w:val="004407B6"/>
    <w:rsid w:val="00440A9D"/>
    <w:rsid w:val="00442F1C"/>
    <w:rsid w:val="004462B3"/>
    <w:rsid w:val="00446437"/>
    <w:rsid w:val="004472F7"/>
    <w:rsid w:val="00447F2E"/>
    <w:rsid w:val="004506DA"/>
    <w:rsid w:val="0045175C"/>
    <w:rsid w:val="00451DCD"/>
    <w:rsid w:val="0045310A"/>
    <w:rsid w:val="00456E18"/>
    <w:rsid w:val="00460192"/>
    <w:rsid w:val="004611A7"/>
    <w:rsid w:val="0046245F"/>
    <w:rsid w:val="004631DC"/>
    <w:rsid w:val="00463947"/>
    <w:rsid w:val="00464824"/>
    <w:rsid w:val="004654DA"/>
    <w:rsid w:val="00471B41"/>
    <w:rsid w:val="00472A23"/>
    <w:rsid w:val="00473500"/>
    <w:rsid w:val="00480DC0"/>
    <w:rsid w:val="00483D7F"/>
    <w:rsid w:val="0048424C"/>
    <w:rsid w:val="0048469A"/>
    <w:rsid w:val="00485AF3"/>
    <w:rsid w:val="00485CC9"/>
    <w:rsid w:val="00486FE5"/>
    <w:rsid w:val="00491A33"/>
    <w:rsid w:val="00492A7A"/>
    <w:rsid w:val="00497489"/>
    <w:rsid w:val="004974DC"/>
    <w:rsid w:val="004A0B67"/>
    <w:rsid w:val="004A156F"/>
    <w:rsid w:val="004A26B1"/>
    <w:rsid w:val="004A2C5F"/>
    <w:rsid w:val="004A3264"/>
    <w:rsid w:val="004A3558"/>
    <w:rsid w:val="004A486B"/>
    <w:rsid w:val="004A6C90"/>
    <w:rsid w:val="004B205C"/>
    <w:rsid w:val="004B381A"/>
    <w:rsid w:val="004B408B"/>
    <w:rsid w:val="004B42DE"/>
    <w:rsid w:val="004B7770"/>
    <w:rsid w:val="004B7E43"/>
    <w:rsid w:val="004C082D"/>
    <w:rsid w:val="004C0BC0"/>
    <w:rsid w:val="004C1A01"/>
    <w:rsid w:val="004C4D1D"/>
    <w:rsid w:val="004C53E9"/>
    <w:rsid w:val="004C5591"/>
    <w:rsid w:val="004C6C9E"/>
    <w:rsid w:val="004D0B3B"/>
    <w:rsid w:val="004D0CF0"/>
    <w:rsid w:val="004D1AAF"/>
    <w:rsid w:val="004D2627"/>
    <w:rsid w:val="004D27F0"/>
    <w:rsid w:val="004D3C68"/>
    <w:rsid w:val="004D6CBF"/>
    <w:rsid w:val="004D6D28"/>
    <w:rsid w:val="004D7C2C"/>
    <w:rsid w:val="004E04A7"/>
    <w:rsid w:val="004E1861"/>
    <w:rsid w:val="004E1936"/>
    <w:rsid w:val="004E1D50"/>
    <w:rsid w:val="004E292D"/>
    <w:rsid w:val="004E4308"/>
    <w:rsid w:val="004E4DA4"/>
    <w:rsid w:val="004E6390"/>
    <w:rsid w:val="004E6F5B"/>
    <w:rsid w:val="004F3FFF"/>
    <w:rsid w:val="004F62CF"/>
    <w:rsid w:val="005004F5"/>
    <w:rsid w:val="00501926"/>
    <w:rsid w:val="0050279B"/>
    <w:rsid w:val="00506331"/>
    <w:rsid w:val="00506E1B"/>
    <w:rsid w:val="005136A6"/>
    <w:rsid w:val="005139BD"/>
    <w:rsid w:val="00514D76"/>
    <w:rsid w:val="00517A97"/>
    <w:rsid w:val="0052186F"/>
    <w:rsid w:val="00521B15"/>
    <w:rsid w:val="005245E7"/>
    <w:rsid w:val="00525F51"/>
    <w:rsid w:val="00526CDD"/>
    <w:rsid w:val="0052738C"/>
    <w:rsid w:val="00527930"/>
    <w:rsid w:val="005325E7"/>
    <w:rsid w:val="0053294F"/>
    <w:rsid w:val="00532E35"/>
    <w:rsid w:val="00533AA0"/>
    <w:rsid w:val="00535244"/>
    <w:rsid w:val="0053647C"/>
    <w:rsid w:val="00536AC6"/>
    <w:rsid w:val="005377D5"/>
    <w:rsid w:val="005402B1"/>
    <w:rsid w:val="00540705"/>
    <w:rsid w:val="00542907"/>
    <w:rsid w:val="00545031"/>
    <w:rsid w:val="00545881"/>
    <w:rsid w:val="00546609"/>
    <w:rsid w:val="00552E9D"/>
    <w:rsid w:val="00560BB6"/>
    <w:rsid w:val="00562395"/>
    <w:rsid w:val="005625E1"/>
    <w:rsid w:val="005652C4"/>
    <w:rsid w:val="005661D3"/>
    <w:rsid w:val="005747BB"/>
    <w:rsid w:val="00574BCB"/>
    <w:rsid w:val="005751DB"/>
    <w:rsid w:val="00575616"/>
    <w:rsid w:val="00581440"/>
    <w:rsid w:val="0058156C"/>
    <w:rsid w:val="0058671F"/>
    <w:rsid w:val="00586A00"/>
    <w:rsid w:val="00587CCB"/>
    <w:rsid w:val="00590254"/>
    <w:rsid w:val="0059077D"/>
    <w:rsid w:val="00591740"/>
    <w:rsid w:val="00591A87"/>
    <w:rsid w:val="0059378E"/>
    <w:rsid w:val="0059427A"/>
    <w:rsid w:val="00596788"/>
    <w:rsid w:val="00596B87"/>
    <w:rsid w:val="005A21FC"/>
    <w:rsid w:val="005A3DD0"/>
    <w:rsid w:val="005A4344"/>
    <w:rsid w:val="005A64BF"/>
    <w:rsid w:val="005A6650"/>
    <w:rsid w:val="005A745B"/>
    <w:rsid w:val="005A7B1D"/>
    <w:rsid w:val="005A7DFA"/>
    <w:rsid w:val="005B0D56"/>
    <w:rsid w:val="005B2B70"/>
    <w:rsid w:val="005B511B"/>
    <w:rsid w:val="005B51FD"/>
    <w:rsid w:val="005B64B8"/>
    <w:rsid w:val="005B6B76"/>
    <w:rsid w:val="005B7CEA"/>
    <w:rsid w:val="005C33BD"/>
    <w:rsid w:val="005C38D1"/>
    <w:rsid w:val="005C4442"/>
    <w:rsid w:val="005C4B63"/>
    <w:rsid w:val="005C6504"/>
    <w:rsid w:val="005C6973"/>
    <w:rsid w:val="005C7FE7"/>
    <w:rsid w:val="005D1F3F"/>
    <w:rsid w:val="005D23C5"/>
    <w:rsid w:val="005E28F8"/>
    <w:rsid w:val="005E3F0A"/>
    <w:rsid w:val="005E4DC0"/>
    <w:rsid w:val="005E51A2"/>
    <w:rsid w:val="005E53A6"/>
    <w:rsid w:val="005E6A94"/>
    <w:rsid w:val="005E6FD2"/>
    <w:rsid w:val="005E7AEB"/>
    <w:rsid w:val="005F06C2"/>
    <w:rsid w:val="005F28B4"/>
    <w:rsid w:val="005F363E"/>
    <w:rsid w:val="005F4865"/>
    <w:rsid w:val="005F61B4"/>
    <w:rsid w:val="00604457"/>
    <w:rsid w:val="00604649"/>
    <w:rsid w:val="00606B98"/>
    <w:rsid w:val="00612BFC"/>
    <w:rsid w:val="006138B8"/>
    <w:rsid w:val="006145F4"/>
    <w:rsid w:val="00614B22"/>
    <w:rsid w:val="00615A77"/>
    <w:rsid w:val="00616715"/>
    <w:rsid w:val="0061783A"/>
    <w:rsid w:val="00617A4E"/>
    <w:rsid w:val="00617BC4"/>
    <w:rsid w:val="006203F2"/>
    <w:rsid w:val="0062069D"/>
    <w:rsid w:val="00620F86"/>
    <w:rsid w:val="006229B9"/>
    <w:rsid w:val="00622E76"/>
    <w:rsid w:val="00622FA4"/>
    <w:rsid w:val="0062379A"/>
    <w:rsid w:val="00624890"/>
    <w:rsid w:val="00624BD1"/>
    <w:rsid w:val="00624DAA"/>
    <w:rsid w:val="006268F7"/>
    <w:rsid w:val="00627216"/>
    <w:rsid w:val="00631F18"/>
    <w:rsid w:val="006320E3"/>
    <w:rsid w:val="00632198"/>
    <w:rsid w:val="00635081"/>
    <w:rsid w:val="006367DF"/>
    <w:rsid w:val="00636C30"/>
    <w:rsid w:val="00637A13"/>
    <w:rsid w:val="00637CBD"/>
    <w:rsid w:val="006415F7"/>
    <w:rsid w:val="006441BE"/>
    <w:rsid w:val="00645468"/>
    <w:rsid w:val="0064749E"/>
    <w:rsid w:val="0065185E"/>
    <w:rsid w:val="006518D5"/>
    <w:rsid w:val="006526EF"/>
    <w:rsid w:val="00653450"/>
    <w:rsid w:val="006543C8"/>
    <w:rsid w:val="00657B18"/>
    <w:rsid w:val="00660705"/>
    <w:rsid w:val="00661E60"/>
    <w:rsid w:val="00662C09"/>
    <w:rsid w:val="006636EB"/>
    <w:rsid w:val="00664C14"/>
    <w:rsid w:val="006651BE"/>
    <w:rsid w:val="006652DA"/>
    <w:rsid w:val="00676D48"/>
    <w:rsid w:val="00677BC2"/>
    <w:rsid w:val="00681422"/>
    <w:rsid w:val="006830DE"/>
    <w:rsid w:val="006837A8"/>
    <w:rsid w:val="006850F3"/>
    <w:rsid w:val="006876C8"/>
    <w:rsid w:val="006878A1"/>
    <w:rsid w:val="00687A7A"/>
    <w:rsid w:val="00690617"/>
    <w:rsid w:val="00694571"/>
    <w:rsid w:val="006972F8"/>
    <w:rsid w:val="006A332D"/>
    <w:rsid w:val="006A3CC1"/>
    <w:rsid w:val="006A76B2"/>
    <w:rsid w:val="006B08AC"/>
    <w:rsid w:val="006B1083"/>
    <w:rsid w:val="006B193A"/>
    <w:rsid w:val="006B1C57"/>
    <w:rsid w:val="006B2F8F"/>
    <w:rsid w:val="006B33D0"/>
    <w:rsid w:val="006B3B5A"/>
    <w:rsid w:val="006B4DBC"/>
    <w:rsid w:val="006B5BD5"/>
    <w:rsid w:val="006C06C7"/>
    <w:rsid w:val="006C1733"/>
    <w:rsid w:val="006C364A"/>
    <w:rsid w:val="006C3AF0"/>
    <w:rsid w:val="006C5E0C"/>
    <w:rsid w:val="006C6C50"/>
    <w:rsid w:val="006C7C64"/>
    <w:rsid w:val="006D0E64"/>
    <w:rsid w:val="006D15D9"/>
    <w:rsid w:val="006D2528"/>
    <w:rsid w:val="006D43F1"/>
    <w:rsid w:val="006D508D"/>
    <w:rsid w:val="006D527A"/>
    <w:rsid w:val="006D5A6C"/>
    <w:rsid w:val="006D5B74"/>
    <w:rsid w:val="006D7B9F"/>
    <w:rsid w:val="006E0571"/>
    <w:rsid w:val="006E3FDC"/>
    <w:rsid w:val="006E54B9"/>
    <w:rsid w:val="006E6A56"/>
    <w:rsid w:val="006E71A7"/>
    <w:rsid w:val="006F0854"/>
    <w:rsid w:val="006F1A34"/>
    <w:rsid w:val="006F6116"/>
    <w:rsid w:val="0070000F"/>
    <w:rsid w:val="007030B4"/>
    <w:rsid w:val="007042A8"/>
    <w:rsid w:val="007047A6"/>
    <w:rsid w:val="007069F9"/>
    <w:rsid w:val="00710127"/>
    <w:rsid w:val="0071214E"/>
    <w:rsid w:val="00715DE0"/>
    <w:rsid w:val="00720277"/>
    <w:rsid w:val="0072251F"/>
    <w:rsid w:val="007240DA"/>
    <w:rsid w:val="007259E3"/>
    <w:rsid w:val="007275E2"/>
    <w:rsid w:val="0073056B"/>
    <w:rsid w:val="007305FF"/>
    <w:rsid w:val="0073094E"/>
    <w:rsid w:val="00735EB7"/>
    <w:rsid w:val="007375AC"/>
    <w:rsid w:val="007377B4"/>
    <w:rsid w:val="0074683D"/>
    <w:rsid w:val="00746F43"/>
    <w:rsid w:val="007528D4"/>
    <w:rsid w:val="00753345"/>
    <w:rsid w:val="00753ECA"/>
    <w:rsid w:val="007547B4"/>
    <w:rsid w:val="007555DF"/>
    <w:rsid w:val="00755868"/>
    <w:rsid w:val="0075753D"/>
    <w:rsid w:val="007649B5"/>
    <w:rsid w:val="007649C7"/>
    <w:rsid w:val="00764FE7"/>
    <w:rsid w:val="00765228"/>
    <w:rsid w:val="007664C0"/>
    <w:rsid w:val="00770167"/>
    <w:rsid w:val="0077602B"/>
    <w:rsid w:val="00776D00"/>
    <w:rsid w:val="0078084E"/>
    <w:rsid w:val="00781D06"/>
    <w:rsid w:val="00784044"/>
    <w:rsid w:val="00784620"/>
    <w:rsid w:val="00784E04"/>
    <w:rsid w:val="0078582A"/>
    <w:rsid w:val="00787E4D"/>
    <w:rsid w:val="00790696"/>
    <w:rsid w:val="00793CDF"/>
    <w:rsid w:val="00796CD4"/>
    <w:rsid w:val="00797B5B"/>
    <w:rsid w:val="00797B7A"/>
    <w:rsid w:val="007A0159"/>
    <w:rsid w:val="007A246B"/>
    <w:rsid w:val="007A5AA5"/>
    <w:rsid w:val="007A5D9F"/>
    <w:rsid w:val="007A6005"/>
    <w:rsid w:val="007A7E4D"/>
    <w:rsid w:val="007B17AD"/>
    <w:rsid w:val="007B30FC"/>
    <w:rsid w:val="007B67CD"/>
    <w:rsid w:val="007B6A72"/>
    <w:rsid w:val="007C204E"/>
    <w:rsid w:val="007C30F2"/>
    <w:rsid w:val="007C3F60"/>
    <w:rsid w:val="007C5478"/>
    <w:rsid w:val="007C55F8"/>
    <w:rsid w:val="007D06FF"/>
    <w:rsid w:val="007D0C57"/>
    <w:rsid w:val="007D2ABE"/>
    <w:rsid w:val="007D3868"/>
    <w:rsid w:val="007D5A8D"/>
    <w:rsid w:val="007D6085"/>
    <w:rsid w:val="007E1A9C"/>
    <w:rsid w:val="007E1BC4"/>
    <w:rsid w:val="007E2598"/>
    <w:rsid w:val="007E26BF"/>
    <w:rsid w:val="007E2F03"/>
    <w:rsid w:val="007E3ADA"/>
    <w:rsid w:val="007E6625"/>
    <w:rsid w:val="007F09A0"/>
    <w:rsid w:val="007F0AED"/>
    <w:rsid w:val="007F6930"/>
    <w:rsid w:val="00800870"/>
    <w:rsid w:val="00800DAF"/>
    <w:rsid w:val="008018DE"/>
    <w:rsid w:val="00801B75"/>
    <w:rsid w:val="00802132"/>
    <w:rsid w:val="008035EB"/>
    <w:rsid w:val="008045CF"/>
    <w:rsid w:val="00805639"/>
    <w:rsid w:val="008076CC"/>
    <w:rsid w:val="00807E44"/>
    <w:rsid w:val="008102F6"/>
    <w:rsid w:val="008125AD"/>
    <w:rsid w:val="0081325E"/>
    <w:rsid w:val="00813A0C"/>
    <w:rsid w:val="008179D1"/>
    <w:rsid w:val="00817DB4"/>
    <w:rsid w:val="00821AC0"/>
    <w:rsid w:val="008264F2"/>
    <w:rsid w:val="0082785F"/>
    <w:rsid w:val="008329D9"/>
    <w:rsid w:val="00833454"/>
    <w:rsid w:val="008348F2"/>
    <w:rsid w:val="00836C1D"/>
    <w:rsid w:val="00836D76"/>
    <w:rsid w:val="008371CE"/>
    <w:rsid w:val="00840D3F"/>
    <w:rsid w:val="00842037"/>
    <w:rsid w:val="0084212E"/>
    <w:rsid w:val="008423BB"/>
    <w:rsid w:val="008424E2"/>
    <w:rsid w:val="00842E15"/>
    <w:rsid w:val="008460F3"/>
    <w:rsid w:val="008478C4"/>
    <w:rsid w:val="00850D23"/>
    <w:rsid w:val="00851149"/>
    <w:rsid w:val="00851CA9"/>
    <w:rsid w:val="00852A23"/>
    <w:rsid w:val="00852AA5"/>
    <w:rsid w:val="00854AD4"/>
    <w:rsid w:val="008562C1"/>
    <w:rsid w:val="00856833"/>
    <w:rsid w:val="00856FDE"/>
    <w:rsid w:val="00857C7A"/>
    <w:rsid w:val="008608BA"/>
    <w:rsid w:val="00860C85"/>
    <w:rsid w:val="00861406"/>
    <w:rsid w:val="008638F2"/>
    <w:rsid w:val="00865BFB"/>
    <w:rsid w:val="00867628"/>
    <w:rsid w:val="00867718"/>
    <w:rsid w:val="00871526"/>
    <w:rsid w:val="00872F3E"/>
    <w:rsid w:val="00876E9D"/>
    <w:rsid w:val="00881290"/>
    <w:rsid w:val="0088138A"/>
    <w:rsid w:val="00882867"/>
    <w:rsid w:val="0088311A"/>
    <w:rsid w:val="00885C16"/>
    <w:rsid w:val="0088648F"/>
    <w:rsid w:val="008912DE"/>
    <w:rsid w:val="0089274E"/>
    <w:rsid w:val="0089361A"/>
    <w:rsid w:val="00896529"/>
    <w:rsid w:val="00896D20"/>
    <w:rsid w:val="00897470"/>
    <w:rsid w:val="008A35C9"/>
    <w:rsid w:val="008A5524"/>
    <w:rsid w:val="008A7737"/>
    <w:rsid w:val="008A7DF4"/>
    <w:rsid w:val="008B0BC2"/>
    <w:rsid w:val="008B1258"/>
    <w:rsid w:val="008B48E3"/>
    <w:rsid w:val="008B4986"/>
    <w:rsid w:val="008B66E6"/>
    <w:rsid w:val="008C274C"/>
    <w:rsid w:val="008C2AC6"/>
    <w:rsid w:val="008C3996"/>
    <w:rsid w:val="008C6266"/>
    <w:rsid w:val="008C791E"/>
    <w:rsid w:val="008D02DF"/>
    <w:rsid w:val="008D0F33"/>
    <w:rsid w:val="008D3E24"/>
    <w:rsid w:val="008D4679"/>
    <w:rsid w:val="008D49A9"/>
    <w:rsid w:val="008E1F82"/>
    <w:rsid w:val="008E30D9"/>
    <w:rsid w:val="008E79EC"/>
    <w:rsid w:val="008F0075"/>
    <w:rsid w:val="008F1BDD"/>
    <w:rsid w:val="008F24AA"/>
    <w:rsid w:val="008F2B09"/>
    <w:rsid w:val="008F3793"/>
    <w:rsid w:val="008F6991"/>
    <w:rsid w:val="00901072"/>
    <w:rsid w:val="00902A35"/>
    <w:rsid w:val="00903BE1"/>
    <w:rsid w:val="00904B4E"/>
    <w:rsid w:val="00906983"/>
    <w:rsid w:val="009106AF"/>
    <w:rsid w:val="009122AD"/>
    <w:rsid w:val="0091411A"/>
    <w:rsid w:val="00916168"/>
    <w:rsid w:val="00920844"/>
    <w:rsid w:val="0092217E"/>
    <w:rsid w:val="009224CA"/>
    <w:rsid w:val="00925BE9"/>
    <w:rsid w:val="00925C47"/>
    <w:rsid w:val="0093270D"/>
    <w:rsid w:val="00932734"/>
    <w:rsid w:val="00933B81"/>
    <w:rsid w:val="00933E03"/>
    <w:rsid w:val="0093669A"/>
    <w:rsid w:val="00941577"/>
    <w:rsid w:val="0094458D"/>
    <w:rsid w:val="009457E8"/>
    <w:rsid w:val="00945AA4"/>
    <w:rsid w:val="00946586"/>
    <w:rsid w:val="009474FA"/>
    <w:rsid w:val="0095259E"/>
    <w:rsid w:val="0095450A"/>
    <w:rsid w:val="00957C91"/>
    <w:rsid w:val="00961547"/>
    <w:rsid w:val="0096402C"/>
    <w:rsid w:val="009648B3"/>
    <w:rsid w:val="00967896"/>
    <w:rsid w:val="00972BE2"/>
    <w:rsid w:val="00974E40"/>
    <w:rsid w:val="0097535F"/>
    <w:rsid w:val="00980314"/>
    <w:rsid w:val="00980F0E"/>
    <w:rsid w:val="0098549D"/>
    <w:rsid w:val="009863AE"/>
    <w:rsid w:val="00986BEC"/>
    <w:rsid w:val="00987360"/>
    <w:rsid w:val="009906AC"/>
    <w:rsid w:val="00991B6A"/>
    <w:rsid w:val="0099202E"/>
    <w:rsid w:val="00992689"/>
    <w:rsid w:val="0099372C"/>
    <w:rsid w:val="00995EE6"/>
    <w:rsid w:val="00996359"/>
    <w:rsid w:val="009A082A"/>
    <w:rsid w:val="009A10E2"/>
    <w:rsid w:val="009A1172"/>
    <w:rsid w:val="009A1203"/>
    <w:rsid w:val="009A1B61"/>
    <w:rsid w:val="009A3C2B"/>
    <w:rsid w:val="009A516F"/>
    <w:rsid w:val="009A56C4"/>
    <w:rsid w:val="009B0677"/>
    <w:rsid w:val="009B0821"/>
    <w:rsid w:val="009B10B6"/>
    <w:rsid w:val="009B3C14"/>
    <w:rsid w:val="009B476C"/>
    <w:rsid w:val="009B4D5C"/>
    <w:rsid w:val="009B78C1"/>
    <w:rsid w:val="009B7BA1"/>
    <w:rsid w:val="009C0B8A"/>
    <w:rsid w:val="009C23DA"/>
    <w:rsid w:val="009C2A0F"/>
    <w:rsid w:val="009C4A13"/>
    <w:rsid w:val="009C6425"/>
    <w:rsid w:val="009C7221"/>
    <w:rsid w:val="009D0C34"/>
    <w:rsid w:val="009D147C"/>
    <w:rsid w:val="009D1998"/>
    <w:rsid w:val="009D1E29"/>
    <w:rsid w:val="009D3A34"/>
    <w:rsid w:val="009D4235"/>
    <w:rsid w:val="009D4BB5"/>
    <w:rsid w:val="009D5D1E"/>
    <w:rsid w:val="009D5F1F"/>
    <w:rsid w:val="009D7606"/>
    <w:rsid w:val="009E05EB"/>
    <w:rsid w:val="009E7D88"/>
    <w:rsid w:val="009F10AF"/>
    <w:rsid w:val="009F436D"/>
    <w:rsid w:val="009F4F57"/>
    <w:rsid w:val="009F5B44"/>
    <w:rsid w:val="009F6D82"/>
    <w:rsid w:val="009F6E4E"/>
    <w:rsid w:val="00A02756"/>
    <w:rsid w:val="00A04AE1"/>
    <w:rsid w:val="00A110D4"/>
    <w:rsid w:val="00A12A7F"/>
    <w:rsid w:val="00A16878"/>
    <w:rsid w:val="00A16FD3"/>
    <w:rsid w:val="00A175DC"/>
    <w:rsid w:val="00A17B57"/>
    <w:rsid w:val="00A17E55"/>
    <w:rsid w:val="00A2047E"/>
    <w:rsid w:val="00A20BAE"/>
    <w:rsid w:val="00A21BB0"/>
    <w:rsid w:val="00A21D22"/>
    <w:rsid w:val="00A22C1A"/>
    <w:rsid w:val="00A270C7"/>
    <w:rsid w:val="00A2794F"/>
    <w:rsid w:val="00A36D16"/>
    <w:rsid w:val="00A400C2"/>
    <w:rsid w:val="00A42771"/>
    <w:rsid w:val="00A44C67"/>
    <w:rsid w:val="00A450AA"/>
    <w:rsid w:val="00A45740"/>
    <w:rsid w:val="00A466B6"/>
    <w:rsid w:val="00A47CE2"/>
    <w:rsid w:val="00A505BA"/>
    <w:rsid w:val="00A52237"/>
    <w:rsid w:val="00A53087"/>
    <w:rsid w:val="00A54131"/>
    <w:rsid w:val="00A56F68"/>
    <w:rsid w:val="00A57FBE"/>
    <w:rsid w:val="00A57FEB"/>
    <w:rsid w:val="00A60008"/>
    <w:rsid w:val="00A60643"/>
    <w:rsid w:val="00A60BA2"/>
    <w:rsid w:val="00A60E04"/>
    <w:rsid w:val="00A633AB"/>
    <w:rsid w:val="00A65063"/>
    <w:rsid w:val="00A66358"/>
    <w:rsid w:val="00A71594"/>
    <w:rsid w:val="00A71DA6"/>
    <w:rsid w:val="00A73781"/>
    <w:rsid w:val="00A7467E"/>
    <w:rsid w:val="00A7693C"/>
    <w:rsid w:val="00A8070A"/>
    <w:rsid w:val="00A80898"/>
    <w:rsid w:val="00A81CC2"/>
    <w:rsid w:val="00A82047"/>
    <w:rsid w:val="00A828EA"/>
    <w:rsid w:val="00A82B85"/>
    <w:rsid w:val="00A8506A"/>
    <w:rsid w:val="00A86460"/>
    <w:rsid w:val="00A91907"/>
    <w:rsid w:val="00A9495A"/>
    <w:rsid w:val="00A955E1"/>
    <w:rsid w:val="00A973BF"/>
    <w:rsid w:val="00AA03D3"/>
    <w:rsid w:val="00AB0C5B"/>
    <w:rsid w:val="00AB11B2"/>
    <w:rsid w:val="00AB452E"/>
    <w:rsid w:val="00AB4DE8"/>
    <w:rsid w:val="00AB5C47"/>
    <w:rsid w:val="00AB5F06"/>
    <w:rsid w:val="00AC17F3"/>
    <w:rsid w:val="00AC195B"/>
    <w:rsid w:val="00AC438A"/>
    <w:rsid w:val="00AC63E3"/>
    <w:rsid w:val="00AC7F4E"/>
    <w:rsid w:val="00AD329C"/>
    <w:rsid w:val="00AD5FA5"/>
    <w:rsid w:val="00AD5FAB"/>
    <w:rsid w:val="00AE0283"/>
    <w:rsid w:val="00AE096A"/>
    <w:rsid w:val="00AE0C49"/>
    <w:rsid w:val="00AE32AC"/>
    <w:rsid w:val="00AE4283"/>
    <w:rsid w:val="00AE5FBA"/>
    <w:rsid w:val="00AE76BC"/>
    <w:rsid w:val="00AF3722"/>
    <w:rsid w:val="00B00059"/>
    <w:rsid w:val="00B01EA9"/>
    <w:rsid w:val="00B06CAB"/>
    <w:rsid w:val="00B1051A"/>
    <w:rsid w:val="00B13617"/>
    <w:rsid w:val="00B14C8F"/>
    <w:rsid w:val="00B14FE4"/>
    <w:rsid w:val="00B16589"/>
    <w:rsid w:val="00B22CA6"/>
    <w:rsid w:val="00B22E7A"/>
    <w:rsid w:val="00B276E6"/>
    <w:rsid w:val="00B27837"/>
    <w:rsid w:val="00B32AF1"/>
    <w:rsid w:val="00B3387D"/>
    <w:rsid w:val="00B33FAF"/>
    <w:rsid w:val="00B364B4"/>
    <w:rsid w:val="00B36D8A"/>
    <w:rsid w:val="00B37085"/>
    <w:rsid w:val="00B409BD"/>
    <w:rsid w:val="00B443F4"/>
    <w:rsid w:val="00B44E32"/>
    <w:rsid w:val="00B45194"/>
    <w:rsid w:val="00B45F61"/>
    <w:rsid w:val="00B46AEF"/>
    <w:rsid w:val="00B46E9E"/>
    <w:rsid w:val="00B47D5E"/>
    <w:rsid w:val="00B47DD0"/>
    <w:rsid w:val="00B5090E"/>
    <w:rsid w:val="00B51B65"/>
    <w:rsid w:val="00B53C1B"/>
    <w:rsid w:val="00B54D48"/>
    <w:rsid w:val="00B5736A"/>
    <w:rsid w:val="00B57686"/>
    <w:rsid w:val="00B57987"/>
    <w:rsid w:val="00B606BB"/>
    <w:rsid w:val="00B60FC5"/>
    <w:rsid w:val="00B63ABE"/>
    <w:rsid w:val="00B64142"/>
    <w:rsid w:val="00B65B20"/>
    <w:rsid w:val="00B702F0"/>
    <w:rsid w:val="00B71846"/>
    <w:rsid w:val="00B71ADF"/>
    <w:rsid w:val="00B72392"/>
    <w:rsid w:val="00B72703"/>
    <w:rsid w:val="00B72EF2"/>
    <w:rsid w:val="00B7407C"/>
    <w:rsid w:val="00B747BD"/>
    <w:rsid w:val="00B80266"/>
    <w:rsid w:val="00B80C7E"/>
    <w:rsid w:val="00B833FF"/>
    <w:rsid w:val="00B86082"/>
    <w:rsid w:val="00B8691A"/>
    <w:rsid w:val="00B90AC0"/>
    <w:rsid w:val="00B90DC9"/>
    <w:rsid w:val="00B94937"/>
    <w:rsid w:val="00B960AB"/>
    <w:rsid w:val="00B96A60"/>
    <w:rsid w:val="00B97D9C"/>
    <w:rsid w:val="00BA144C"/>
    <w:rsid w:val="00BA154D"/>
    <w:rsid w:val="00BA1715"/>
    <w:rsid w:val="00BA36EA"/>
    <w:rsid w:val="00BA5856"/>
    <w:rsid w:val="00BA609E"/>
    <w:rsid w:val="00BA723E"/>
    <w:rsid w:val="00BA7DB9"/>
    <w:rsid w:val="00BB30D4"/>
    <w:rsid w:val="00BB679E"/>
    <w:rsid w:val="00BB7D5B"/>
    <w:rsid w:val="00BD2966"/>
    <w:rsid w:val="00BD2C53"/>
    <w:rsid w:val="00BD307A"/>
    <w:rsid w:val="00BD54F1"/>
    <w:rsid w:val="00BD5D1C"/>
    <w:rsid w:val="00BD5D46"/>
    <w:rsid w:val="00BE284B"/>
    <w:rsid w:val="00BE2EAA"/>
    <w:rsid w:val="00BE648E"/>
    <w:rsid w:val="00BE7F59"/>
    <w:rsid w:val="00BF303D"/>
    <w:rsid w:val="00BF56D4"/>
    <w:rsid w:val="00BF689D"/>
    <w:rsid w:val="00BF6FDA"/>
    <w:rsid w:val="00BF71F6"/>
    <w:rsid w:val="00C018BE"/>
    <w:rsid w:val="00C01D3F"/>
    <w:rsid w:val="00C0221B"/>
    <w:rsid w:val="00C0465A"/>
    <w:rsid w:val="00C14544"/>
    <w:rsid w:val="00C15500"/>
    <w:rsid w:val="00C17AAE"/>
    <w:rsid w:val="00C20114"/>
    <w:rsid w:val="00C21E64"/>
    <w:rsid w:val="00C2383B"/>
    <w:rsid w:val="00C2417E"/>
    <w:rsid w:val="00C24429"/>
    <w:rsid w:val="00C33D7E"/>
    <w:rsid w:val="00C35AAA"/>
    <w:rsid w:val="00C36049"/>
    <w:rsid w:val="00C37763"/>
    <w:rsid w:val="00C37CF2"/>
    <w:rsid w:val="00C42EA7"/>
    <w:rsid w:val="00C46FB0"/>
    <w:rsid w:val="00C5092F"/>
    <w:rsid w:val="00C51B3B"/>
    <w:rsid w:val="00C51D96"/>
    <w:rsid w:val="00C5255A"/>
    <w:rsid w:val="00C52B96"/>
    <w:rsid w:val="00C5446D"/>
    <w:rsid w:val="00C55801"/>
    <w:rsid w:val="00C5798C"/>
    <w:rsid w:val="00C61A0E"/>
    <w:rsid w:val="00C61C85"/>
    <w:rsid w:val="00C62CD6"/>
    <w:rsid w:val="00C63084"/>
    <w:rsid w:val="00C63B22"/>
    <w:rsid w:val="00C6629E"/>
    <w:rsid w:val="00C70743"/>
    <w:rsid w:val="00C7285D"/>
    <w:rsid w:val="00C76028"/>
    <w:rsid w:val="00C775CC"/>
    <w:rsid w:val="00C77BD1"/>
    <w:rsid w:val="00C82977"/>
    <w:rsid w:val="00C82CF2"/>
    <w:rsid w:val="00C8470C"/>
    <w:rsid w:val="00C85B21"/>
    <w:rsid w:val="00C873F9"/>
    <w:rsid w:val="00C908AA"/>
    <w:rsid w:val="00C944C7"/>
    <w:rsid w:val="00C97D98"/>
    <w:rsid w:val="00CA0A7D"/>
    <w:rsid w:val="00CB07B4"/>
    <w:rsid w:val="00CB0EA1"/>
    <w:rsid w:val="00CB11E4"/>
    <w:rsid w:val="00CB1D7C"/>
    <w:rsid w:val="00CB2ACA"/>
    <w:rsid w:val="00CB3930"/>
    <w:rsid w:val="00CB5B34"/>
    <w:rsid w:val="00CB6CCE"/>
    <w:rsid w:val="00CB6DF2"/>
    <w:rsid w:val="00CC0313"/>
    <w:rsid w:val="00CC13B1"/>
    <w:rsid w:val="00CC24B6"/>
    <w:rsid w:val="00CC2778"/>
    <w:rsid w:val="00CC4916"/>
    <w:rsid w:val="00CC7069"/>
    <w:rsid w:val="00CD089A"/>
    <w:rsid w:val="00CD135B"/>
    <w:rsid w:val="00CD1A1B"/>
    <w:rsid w:val="00CD3821"/>
    <w:rsid w:val="00CD3E1B"/>
    <w:rsid w:val="00CD62D8"/>
    <w:rsid w:val="00CD6D82"/>
    <w:rsid w:val="00CE0439"/>
    <w:rsid w:val="00CE4686"/>
    <w:rsid w:val="00CE46BE"/>
    <w:rsid w:val="00CE4F45"/>
    <w:rsid w:val="00CE55F0"/>
    <w:rsid w:val="00CE6DA9"/>
    <w:rsid w:val="00CE765B"/>
    <w:rsid w:val="00CE7D7C"/>
    <w:rsid w:val="00CE7EE0"/>
    <w:rsid w:val="00CF242E"/>
    <w:rsid w:val="00CF2616"/>
    <w:rsid w:val="00CF2F9E"/>
    <w:rsid w:val="00CF32B9"/>
    <w:rsid w:val="00CF33EC"/>
    <w:rsid w:val="00CF5F64"/>
    <w:rsid w:val="00D00043"/>
    <w:rsid w:val="00D001C3"/>
    <w:rsid w:val="00D01864"/>
    <w:rsid w:val="00D03907"/>
    <w:rsid w:val="00D05857"/>
    <w:rsid w:val="00D0589B"/>
    <w:rsid w:val="00D116A6"/>
    <w:rsid w:val="00D1534C"/>
    <w:rsid w:val="00D15C57"/>
    <w:rsid w:val="00D16618"/>
    <w:rsid w:val="00D1799E"/>
    <w:rsid w:val="00D201EA"/>
    <w:rsid w:val="00D20C6B"/>
    <w:rsid w:val="00D21B9B"/>
    <w:rsid w:val="00D23863"/>
    <w:rsid w:val="00D23C39"/>
    <w:rsid w:val="00D23D14"/>
    <w:rsid w:val="00D2649E"/>
    <w:rsid w:val="00D317FD"/>
    <w:rsid w:val="00D33020"/>
    <w:rsid w:val="00D34AC4"/>
    <w:rsid w:val="00D34F74"/>
    <w:rsid w:val="00D36BA2"/>
    <w:rsid w:val="00D370A6"/>
    <w:rsid w:val="00D373E7"/>
    <w:rsid w:val="00D37F6E"/>
    <w:rsid w:val="00D402E3"/>
    <w:rsid w:val="00D43ACC"/>
    <w:rsid w:val="00D44006"/>
    <w:rsid w:val="00D452CA"/>
    <w:rsid w:val="00D47728"/>
    <w:rsid w:val="00D477D5"/>
    <w:rsid w:val="00D51DCB"/>
    <w:rsid w:val="00D539D1"/>
    <w:rsid w:val="00D5610F"/>
    <w:rsid w:val="00D56D17"/>
    <w:rsid w:val="00D56F0B"/>
    <w:rsid w:val="00D6214D"/>
    <w:rsid w:val="00D6438A"/>
    <w:rsid w:val="00D65448"/>
    <w:rsid w:val="00D72E9E"/>
    <w:rsid w:val="00D734EC"/>
    <w:rsid w:val="00D74098"/>
    <w:rsid w:val="00D7495B"/>
    <w:rsid w:val="00D753D6"/>
    <w:rsid w:val="00D775AF"/>
    <w:rsid w:val="00D77CF1"/>
    <w:rsid w:val="00D810BB"/>
    <w:rsid w:val="00D826AE"/>
    <w:rsid w:val="00D82781"/>
    <w:rsid w:val="00D845CA"/>
    <w:rsid w:val="00D86E59"/>
    <w:rsid w:val="00D9179B"/>
    <w:rsid w:val="00D91DE9"/>
    <w:rsid w:val="00D945FE"/>
    <w:rsid w:val="00D97DF9"/>
    <w:rsid w:val="00DA0FF1"/>
    <w:rsid w:val="00DA2EB1"/>
    <w:rsid w:val="00DA3322"/>
    <w:rsid w:val="00DA3B4D"/>
    <w:rsid w:val="00DB0657"/>
    <w:rsid w:val="00DB267F"/>
    <w:rsid w:val="00DB3A16"/>
    <w:rsid w:val="00DB7659"/>
    <w:rsid w:val="00DC061C"/>
    <w:rsid w:val="00DC4D05"/>
    <w:rsid w:val="00DC6253"/>
    <w:rsid w:val="00DC6C44"/>
    <w:rsid w:val="00DC6D11"/>
    <w:rsid w:val="00DC6D6D"/>
    <w:rsid w:val="00DC76D9"/>
    <w:rsid w:val="00DD0425"/>
    <w:rsid w:val="00DD079D"/>
    <w:rsid w:val="00DD1B18"/>
    <w:rsid w:val="00DD3880"/>
    <w:rsid w:val="00DD4278"/>
    <w:rsid w:val="00DD473A"/>
    <w:rsid w:val="00DD4D2C"/>
    <w:rsid w:val="00DD4FE0"/>
    <w:rsid w:val="00DD7CE4"/>
    <w:rsid w:val="00DE5DD9"/>
    <w:rsid w:val="00DE6207"/>
    <w:rsid w:val="00DE76D7"/>
    <w:rsid w:val="00DF01E5"/>
    <w:rsid w:val="00DF5D1E"/>
    <w:rsid w:val="00DF60C4"/>
    <w:rsid w:val="00DF7ABB"/>
    <w:rsid w:val="00E01B80"/>
    <w:rsid w:val="00E02152"/>
    <w:rsid w:val="00E023AF"/>
    <w:rsid w:val="00E03CE7"/>
    <w:rsid w:val="00E04E82"/>
    <w:rsid w:val="00E052EB"/>
    <w:rsid w:val="00E05E0B"/>
    <w:rsid w:val="00E06C2A"/>
    <w:rsid w:val="00E106F6"/>
    <w:rsid w:val="00E11304"/>
    <w:rsid w:val="00E12B45"/>
    <w:rsid w:val="00E13751"/>
    <w:rsid w:val="00E13D9B"/>
    <w:rsid w:val="00E14E7B"/>
    <w:rsid w:val="00E17027"/>
    <w:rsid w:val="00E17655"/>
    <w:rsid w:val="00E176A1"/>
    <w:rsid w:val="00E24A40"/>
    <w:rsid w:val="00E25275"/>
    <w:rsid w:val="00E2581B"/>
    <w:rsid w:val="00E25978"/>
    <w:rsid w:val="00E26A40"/>
    <w:rsid w:val="00E26EC0"/>
    <w:rsid w:val="00E27F57"/>
    <w:rsid w:val="00E33226"/>
    <w:rsid w:val="00E34B95"/>
    <w:rsid w:val="00E36C10"/>
    <w:rsid w:val="00E36DBC"/>
    <w:rsid w:val="00E41B64"/>
    <w:rsid w:val="00E421B7"/>
    <w:rsid w:val="00E440FC"/>
    <w:rsid w:val="00E46E5C"/>
    <w:rsid w:val="00E47216"/>
    <w:rsid w:val="00E53AD6"/>
    <w:rsid w:val="00E54632"/>
    <w:rsid w:val="00E55A75"/>
    <w:rsid w:val="00E561E1"/>
    <w:rsid w:val="00E57ACB"/>
    <w:rsid w:val="00E60F09"/>
    <w:rsid w:val="00E63C6C"/>
    <w:rsid w:val="00E6762D"/>
    <w:rsid w:val="00E67699"/>
    <w:rsid w:val="00E704A2"/>
    <w:rsid w:val="00E72465"/>
    <w:rsid w:val="00E76ABF"/>
    <w:rsid w:val="00E84011"/>
    <w:rsid w:val="00E86AC8"/>
    <w:rsid w:val="00E871DB"/>
    <w:rsid w:val="00E87BD8"/>
    <w:rsid w:val="00E91E23"/>
    <w:rsid w:val="00E93B5A"/>
    <w:rsid w:val="00E94E64"/>
    <w:rsid w:val="00E960C6"/>
    <w:rsid w:val="00EA528C"/>
    <w:rsid w:val="00EA6D6B"/>
    <w:rsid w:val="00EA7BDD"/>
    <w:rsid w:val="00EB0883"/>
    <w:rsid w:val="00EB1547"/>
    <w:rsid w:val="00EB4636"/>
    <w:rsid w:val="00EB4821"/>
    <w:rsid w:val="00EB74FC"/>
    <w:rsid w:val="00EC004A"/>
    <w:rsid w:val="00EC0BF3"/>
    <w:rsid w:val="00EC2160"/>
    <w:rsid w:val="00EC432B"/>
    <w:rsid w:val="00EC5200"/>
    <w:rsid w:val="00EC63F1"/>
    <w:rsid w:val="00ED30B0"/>
    <w:rsid w:val="00ED37DA"/>
    <w:rsid w:val="00ED7927"/>
    <w:rsid w:val="00EE1061"/>
    <w:rsid w:val="00EE2240"/>
    <w:rsid w:val="00EE2F75"/>
    <w:rsid w:val="00EE4235"/>
    <w:rsid w:val="00EE69C8"/>
    <w:rsid w:val="00EF5089"/>
    <w:rsid w:val="00F0151E"/>
    <w:rsid w:val="00F03011"/>
    <w:rsid w:val="00F03FF8"/>
    <w:rsid w:val="00F04814"/>
    <w:rsid w:val="00F04866"/>
    <w:rsid w:val="00F06822"/>
    <w:rsid w:val="00F14128"/>
    <w:rsid w:val="00F15A55"/>
    <w:rsid w:val="00F16C1A"/>
    <w:rsid w:val="00F22155"/>
    <w:rsid w:val="00F231B7"/>
    <w:rsid w:val="00F3071E"/>
    <w:rsid w:val="00F3165D"/>
    <w:rsid w:val="00F3209C"/>
    <w:rsid w:val="00F32595"/>
    <w:rsid w:val="00F35DCF"/>
    <w:rsid w:val="00F40A14"/>
    <w:rsid w:val="00F410D9"/>
    <w:rsid w:val="00F433B8"/>
    <w:rsid w:val="00F44704"/>
    <w:rsid w:val="00F449ED"/>
    <w:rsid w:val="00F456F4"/>
    <w:rsid w:val="00F46F83"/>
    <w:rsid w:val="00F47818"/>
    <w:rsid w:val="00F50120"/>
    <w:rsid w:val="00F51644"/>
    <w:rsid w:val="00F53D07"/>
    <w:rsid w:val="00F56B82"/>
    <w:rsid w:val="00F65513"/>
    <w:rsid w:val="00F67D94"/>
    <w:rsid w:val="00F70E1A"/>
    <w:rsid w:val="00F729AB"/>
    <w:rsid w:val="00F737D5"/>
    <w:rsid w:val="00F748A3"/>
    <w:rsid w:val="00F74901"/>
    <w:rsid w:val="00F7576B"/>
    <w:rsid w:val="00F77E7F"/>
    <w:rsid w:val="00F80596"/>
    <w:rsid w:val="00F80F97"/>
    <w:rsid w:val="00F82402"/>
    <w:rsid w:val="00F84CD2"/>
    <w:rsid w:val="00F90857"/>
    <w:rsid w:val="00F91F5D"/>
    <w:rsid w:val="00F92AC0"/>
    <w:rsid w:val="00F956E7"/>
    <w:rsid w:val="00F95E20"/>
    <w:rsid w:val="00F96071"/>
    <w:rsid w:val="00F962D0"/>
    <w:rsid w:val="00FA022D"/>
    <w:rsid w:val="00FA3596"/>
    <w:rsid w:val="00FA3D52"/>
    <w:rsid w:val="00FA4182"/>
    <w:rsid w:val="00FA643A"/>
    <w:rsid w:val="00FC097B"/>
    <w:rsid w:val="00FC1C71"/>
    <w:rsid w:val="00FC2839"/>
    <w:rsid w:val="00FC2A33"/>
    <w:rsid w:val="00FC31E5"/>
    <w:rsid w:val="00FC3E96"/>
    <w:rsid w:val="00FC4F74"/>
    <w:rsid w:val="00FC5F6D"/>
    <w:rsid w:val="00FC6E30"/>
    <w:rsid w:val="00FC729B"/>
    <w:rsid w:val="00FD191D"/>
    <w:rsid w:val="00FD20B1"/>
    <w:rsid w:val="00FD2C56"/>
    <w:rsid w:val="00FD684B"/>
    <w:rsid w:val="00FE041B"/>
    <w:rsid w:val="00FE1A2D"/>
    <w:rsid w:val="00FE1B8D"/>
    <w:rsid w:val="00FE1D69"/>
    <w:rsid w:val="00FE2FE2"/>
    <w:rsid w:val="00FE5633"/>
    <w:rsid w:val="00FE67D0"/>
    <w:rsid w:val="00FE788D"/>
    <w:rsid w:val="00FF1068"/>
    <w:rsid w:val="00FF3824"/>
    <w:rsid w:val="00FF462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81223"/>
  <w15:chartTrackingRefBased/>
  <w15:docId w15:val="{9AC5223D-D6CF-4855-83A7-6AD16B39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18E"/>
    <w:rPr>
      <w:rFonts w:ascii="Times New Roman" w:eastAsia="Times New Roman" w:hAnsi="Times New Roman"/>
      <w:lang w:val="es-ES" w:eastAsia="es-ES"/>
    </w:rPr>
  </w:style>
  <w:style w:type="paragraph" w:styleId="Ttulo1">
    <w:name w:val="heading 1"/>
    <w:basedOn w:val="Normal"/>
    <w:next w:val="Normal"/>
    <w:link w:val="Ttulo1Car"/>
    <w:uiPriority w:val="99"/>
    <w:qFormat/>
    <w:rsid w:val="004D0B3B"/>
    <w:pPr>
      <w:keepNext/>
      <w:jc w:val="both"/>
      <w:outlineLvl w:val="0"/>
    </w:pPr>
    <w:rPr>
      <w:sz w:val="24"/>
    </w:rPr>
  </w:style>
  <w:style w:type="paragraph" w:styleId="Ttulo2">
    <w:name w:val="heading 2"/>
    <w:aliases w:val="CAPÍTULO,Car10"/>
    <w:basedOn w:val="Normal"/>
    <w:next w:val="Normal"/>
    <w:link w:val="Ttulo2Car"/>
    <w:qFormat/>
    <w:rsid w:val="004D0B3B"/>
    <w:pPr>
      <w:keepNext/>
      <w:jc w:val="both"/>
      <w:outlineLvl w:val="1"/>
    </w:pPr>
    <w:rPr>
      <w:b/>
      <w:sz w:val="28"/>
    </w:rPr>
  </w:style>
  <w:style w:type="paragraph" w:styleId="Ttulo3">
    <w:name w:val="heading 3"/>
    <w:basedOn w:val="Normal"/>
    <w:next w:val="Normal"/>
    <w:link w:val="Ttulo3Car"/>
    <w:uiPriority w:val="99"/>
    <w:qFormat/>
    <w:rsid w:val="004D0B3B"/>
    <w:pPr>
      <w:keepNext/>
      <w:outlineLvl w:val="2"/>
    </w:pPr>
    <w:rPr>
      <w:b/>
      <w:bCs/>
      <w:sz w:val="24"/>
    </w:rPr>
  </w:style>
  <w:style w:type="paragraph" w:styleId="Ttulo4">
    <w:name w:val="heading 4"/>
    <w:basedOn w:val="Normal"/>
    <w:next w:val="Normal"/>
    <w:link w:val="Ttulo4Car"/>
    <w:uiPriority w:val="99"/>
    <w:qFormat/>
    <w:rsid w:val="004D0B3B"/>
    <w:pPr>
      <w:keepNext/>
      <w:jc w:val="center"/>
      <w:outlineLvl w:val="3"/>
    </w:pPr>
    <w:rPr>
      <w:rFonts w:ascii="Coronet" w:hAnsi="Coronet"/>
      <w:sz w:val="42"/>
      <w:lang w:val="es-CR"/>
    </w:rPr>
  </w:style>
  <w:style w:type="paragraph" w:styleId="Ttulo5">
    <w:name w:val="heading 5"/>
    <w:basedOn w:val="Normal"/>
    <w:next w:val="Normal"/>
    <w:link w:val="Ttulo5Car"/>
    <w:uiPriority w:val="99"/>
    <w:qFormat/>
    <w:rsid w:val="004D0B3B"/>
    <w:pPr>
      <w:keepNext/>
      <w:widowControl w:val="0"/>
      <w:ind w:firstLine="426"/>
      <w:jc w:val="both"/>
      <w:outlineLvl w:val="4"/>
    </w:pPr>
    <w:rPr>
      <w:b/>
      <w:bCs/>
      <w:i/>
      <w:iCs/>
      <w:lang w:val="es-CR"/>
    </w:rPr>
  </w:style>
  <w:style w:type="paragraph" w:styleId="Ttulo7">
    <w:name w:val="heading 7"/>
    <w:basedOn w:val="Normal"/>
    <w:next w:val="Normal"/>
    <w:link w:val="Ttulo7Car"/>
    <w:uiPriority w:val="99"/>
    <w:qFormat/>
    <w:rsid w:val="004D0B3B"/>
    <w:pPr>
      <w:keepNext/>
      <w:tabs>
        <w:tab w:val="num" w:pos="1296"/>
      </w:tabs>
      <w:ind w:left="1296" w:hanging="1296"/>
      <w:outlineLvl w:val="6"/>
    </w:pPr>
    <w:rPr>
      <w:sz w:val="28"/>
    </w:rPr>
  </w:style>
  <w:style w:type="paragraph" w:styleId="Ttulo8">
    <w:name w:val="heading 8"/>
    <w:basedOn w:val="Normal"/>
    <w:next w:val="Normal"/>
    <w:link w:val="Ttulo8Car"/>
    <w:uiPriority w:val="99"/>
    <w:qFormat/>
    <w:rsid w:val="004D0B3B"/>
    <w:pPr>
      <w:keepNext/>
      <w:tabs>
        <w:tab w:val="num" w:pos="1440"/>
      </w:tabs>
      <w:ind w:left="1440" w:hanging="1440"/>
      <w:outlineLvl w:val="7"/>
    </w:pPr>
    <w:rPr>
      <w:rFonts w:ascii="Arial" w:hAnsi="Arial" w:cs="Arial"/>
      <w:b/>
      <w:bCs/>
      <w:color w:val="99CC00"/>
    </w:rPr>
  </w:style>
  <w:style w:type="paragraph" w:styleId="Ttulo9">
    <w:name w:val="heading 9"/>
    <w:basedOn w:val="Normal"/>
    <w:next w:val="Normal"/>
    <w:link w:val="Ttulo9Car"/>
    <w:uiPriority w:val="99"/>
    <w:qFormat/>
    <w:rsid w:val="004D0B3B"/>
    <w:pPr>
      <w:keepNext/>
      <w:tabs>
        <w:tab w:val="num" w:pos="1584"/>
      </w:tabs>
      <w:ind w:left="1584" w:hanging="1584"/>
      <w:jc w:val="both"/>
      <w:outlineLvl w:val="8"/>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0A93"/>
    <w:pPr>
      <w:tabs>
        <w:tab w:val="center" w:pos="4419"/>
        <w:tab w:val="right" w:pos="8838"/>
      </w:tabs>
    </w:pPr>
  </w:style>
  <w:style w:type="character" w:customStyle="1" w:styleId="EncabezadoCar">
    <w:name w:val="Encabezado Car"/>
    <w:link w:val="Encabezado"/>
    <w:uiPriority w:val="99"/>
    <w:rsid w:val="00290A9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90A93"/>
    <w:pPr>
      <w:tabs>
        <w:tab w:val="center" w:pos="4419"/>
        <w:tab w:val="right" w:pos="8838"/>
      </w:tabs>
    </w:pPr>
  </w:style>
  <w:style w:type="character" w:customStyle="1" w:styleId="PiedepginaCar">
    <w:name w:val="Pie de página Car"/>
    <w:link w:val="Piedepgina"/>
    <w:uiPriority w:val="99"/>
    <w:rsid w:val="00290A93"/>
    <w:rPr>
      <w:rFonts w:ascii="Times New Roman" w:eastAsia="Times New Roman" w:hAnsi="Times New Roman" w:cs="Times New Roman"/>
      <w:sz w:val="20"/>
      <w:szCs w:val="20"/>
      <w:lang w:val="es-ES" w:eastAsia="es-ES"/>
    </w:rPr>
  </w:style>
  <w:style w:type="paragraph" w:styleId="NormalWeb">
    <w:name w:val="Normal (Web)"/>
    <w:basedOn w:val="Normal"/>
    <w:uiPriority w:val="99"/>
    <w:unhideWhenUsed/>
    <w:rsid w:val="00AC438A"/>
    <w:pPr>
      <w:spacing w:before="100" w:beforeAutospacing="1" w:after="100" w:afterAutospacing="1"/>
    </w:pPr>
    <w:rPr>
      <w:rFonts w:ascii="Arial" w:hAnsi="Arial" w:cs="Arial"/>
      <w:sz w:val="18"/>
      <w:szCs w:val="18"/>
      <w:lang w:val="es-CR" w:eastAsia="es-CR"/>
    </w:rPr>
  </w:style>
  <w:style w:type="character" w:styleId="Textoennegrita">
    <w:name w:val="Strong"/>
    <w:uiPriority w:val="99"/>
    <w:qFormat/>
    <w:rsid w:val="00AC438A"/>
    <w:rPr>
      <w:b/>
      <w:bCs/>
    </w:rPr>
  </w:style>
  <w:style w:type="paragraph" w:styleId="Textodeglobo">
    <w:name w:val="Balloon Text"/>
    <w:basedOn w:val="Normal"/>
    <w:link w:val="TextodegloboCar"/>
    <w:uiPriority w:val="99"/>
    <w:semiHidden/>
    <w:unhideWhenUsed/>
    <w:rsid w:val="00BD5D1C"/>
    <w:rPr>
      <w:rFonts w:ascii="Tahoma" w:hAnsi="Tahoma" w:cs="Tahoma"/>
      <w:sz w:val="16"/>
      <w:szCs w:val="16"/>
    </w:rPr>
  </w:style>
  <w:style w:type="character" w:customStyle="1" w:styleId="TextodegloboCar">
    <w:name w:val="Texto de globo Car"/>
    <w:link w:val="Textodeglobo"/>
    <w:uiPriority w:val="99"/>
    <w:semiHidden/>
    <w:rsid w:val="00BD5D1C"/>
    <w:rPr>
      <w:rFonts w:ascii="Tahoma" w:eastAsia="Times New Roman" w:hAnsi="Tahoma" w:cs="Tahoma"/>
      <w:sz w:val="16"/>
      <w:szCs w:val="16"/>
      <w:lang w:val="es-ES" w:eastAsia="es-ES"/>
    </w:rPr>
  </w:style>
  <w:style w:type="character" w:styleId="Hipervnculo">
    <w:name w:val="Hyperlink"/>
    <w:uiPriority w:val="99"/>
    <w:rsid w:val="00EB74FC"/>
    <w:rPr>
      <w:color w:val="0000FF"/>
      <w:u w:val="single"/>
    </w:rPr>
  </w:style>
  <w:style w:type="paragraph" w:styleId="Prrafodelista">
    <w:name w:val="List Paragraph"/>
    <w:basedOn w:val="Normal"/>
    <w:link w:val="PrrafodelistaCar"/>
    <w:uiPriority w:val="34"/>
    <w:qFormat/>
    <w:rsid w:val="00DE76D7"/>
    <w:pPr>
      <w:ind w:left="708"/>
    </w:pPr>
    <w:rPr>
      <w:sz w:val="24"/>
      <w:szCs w:val="24"/>
    </w:rPr>
  </w:style>
  <w:style w:type="paragraph" w:styleId="Textoindependiente">
    <w:name w:val="Body Text"/>
    <w:basedOn w:val="Normal"/>
    <w:link w:val="TextoindependienteCar"/>
    <w:uiPriority w:val="99"/>
    <w:unhideWhenUsed/>
    <w:rsid w:val="005B511B"/>
    <w:pPr>
      <w:spacing w:after="120"/>
      <w:jc w:val="both"/>
    </w:pPr>
    <w:rPr>
      <w:rFonts w:eastAsia="Calibri"/>
      <w:sz w:val="24"/>
      <w:szCs w:val="24"/>
      <w:lang w:eastAsia="en-US"/>
    </w:rPr>
  </w:style>
  <w:style w:type="character" w:customStyle="1" w:styleId="TextoindependienteCar">
    <w:name w:val="Texto independiente Car"/>
    <w:link w:val="Textoindependiente"/>
    <w:uiPriority w:val="99"/>
    <w:rsid w:val="005B511B"/>
    <w:rPr>
      <w:rFonts w:ascii="Times New Roman" w:eastAsia="Calibri" w:hAnsi="Times New Roman" w:cs="Times New Roman"/>
      <w:sz w:val="24"/>
      <w:szCs w:val="24"/>
      <w:lang w:val="es-ES"/>
    </w:rPr>
  </w:style>
  <w:style w:type="table" w:customStyle="1" w:styleId="Listaclara1">
    <w:name w:val="Lista clara1"/>
    <w:basedOn w:val="Tablanormal"/>
    <w:uiPriority w:val="61"/>
    <w:rsid w:val="003253EA"/>
    <w:pPr>
      <w:jc w:val="both"/>
    </w:pPr>
    <w:rPr>
      <w:rFonts w:eastAsia="Times New Roman"/>
      <w:lang w:val="en-US" w:eastAsia="en-US"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inespaciado">
    <w:name w:val="No Spacing"/>
    <w:link w:val="SinespaciadoCar"/>
    <w:uiPriority w:val="1"/>
    <w:qFormat/>
    <w:rsid w:val="00E871DB"/>
    <w:rPr>
      <w:sz w:val="22"/>
      <w:szCs w:val="22"/>
      <w:lang w:val="en-US" w:eastAsia="en-US"/>
    </w:rPr>
  </w:style>
  <w:style w:type="paragraph" w:styleId="Sangra2detindependiente">
    <w:name w:val="Body Text Indent 2"/>
    <w:basedOn w:val="Normal"/>
    <w:link w:val="Sangra2detindependienteCar"/>
    <w:uiPriority w:val="99"/>
    <w:unhideWhenUsed/>
    <w:rsid w:val="001E4BAA"/>
    <w:pPr>
      <w:spacing w:after="120" w:line="480" w:lineRule="auto"/>
      <w:ind w:left="283"/>
    </w:pPr>
  </w:style>
  <w:style w:type="character" w:customStyle="1" w:styleId="Sangra2detindependienteCar">
    <w:name w:val="Sangría 2 de t. independiente Car"/>
    <w:link w:val="Sangra2detindependiente"/>
    <w:uiPriority w:val="99"/>
    <w:rsid w:val="001E4BAA"/>
    <w:rPr>
      <w:rFonts w:ascii="Times New Roman" w:eastAsia="Times New Roman" w:hAnsi="Times New Roman"/>
      <w:lang w:val="es-ES" w:eastAsia="es-ES"/>
    </w:rPr>
  </w:style>
  <w:style w:type="paragraph" w:customStyle="1" w:styleId="Piepagina">
    <w:name w:val="Pie pagina"/>
    <w:basedOn w:val="Normal"/>
    <w:link w:val="PiepaginaChar"/>
    <w:uiPriority w:val="1"/>
    <w:qFormat/>
    <w:rsid w:val="002E22DE"/>
    <w:pPr>
      <w:jc w:val="both"/>
    </w:pPr>
    <w:rPr>
      <w:rFonts w:ascii="Franklin Gothic Book" w:hAnsi="Franklin Gothic Book"/>
      <w:color w:val="004990"/>
      <w:sz w:val="16"/>
      <w:szCs w:val="16"/>
      <w:lang w:eastAsia="en-US"/>
    </w:rPr>
  </w:style>
  <w:style w:type="character" w:customStyle="1" w:styleId="PiepaginaChar">
    <w:name w:val="Pie pagina Char"/>
    <w:link w:val="Piepagina"/>
    <w:uiPriority w:val="1"/>
    <w:rsid w:val="002E22DE"/>
    <w:rPr>
      <w:rFonts w:ascii="Franklin Gothic Book" w:eastAsia="Times New Roman" w:hAnsi="Franklin Gothic Book"/>
      <w:color w:val="004990"/>
      <w:sz w:val="16"/>
      <w:szCs w:val="16"/>
      <w:lang w:val="es-ES" w:eastAsia="en-US"/>
    </w:rPr>
  </w:style>
  <w:style w:type="character" w:customStyle="1" w:styleId="Ttulo1Car">
    <w:name w:val="Título 1 Car"/>
    <w:link w:val="Ttulo1"/>
    <w:uiPriority w:val="99"/>
    <w:rsid w:val="004D0B3B"/>
    <w:rPr>
      <w:rFonts w:ascii="Times New Roman" w:eastAsia="Times New Roman" w:hAnsi="Times New Roman"/>
      <w:sz w:val="24"/>
      <w:lang w:val="es-ES" w:eastAsia="es-ES"/>
    </w:rPr>
  </w:style>
  <w:style w:type="character" w:customStyle="1" w:styleId="Ttulo2Car">
    <w:name w:val="Título 2 Car"/>
    <w:aliases w:val="CAPÍTULO Car,Car10 Car"/>
    <w:link w:val="Ttulo2"/>
    <w:rsid w:val="004D0B3B"/>
    <w:rPr>
      <w:rFonts w:ascii="Times New Roman" w:eastAsia="Times New Roman" w:hAnsi="Times New Roman"/>
      <w:b/>
      <w:sz w:val="28"/>
      <w:lang w:val="es-ES" w:eastAsia="es-ES"/>
    </w:rPr>
  </w:style>
  <w:style w:type="character" w:customStyle="1" w:styleId="Ttulo3Car">
    <w:name w:val="Título 3 Car"/>
    <w:link w:val="Ttulo3"/>
    <w:uiPriority w:val="99"/>
    <w:rsid w:val="004D0B3B"/>
    <w:rPr>
      <w:rFonts w:ascii="Times New Roman" w:eastAsia="Times New Roman" w:hAnsi="Times New Roman"/>
      <w:b/>
      <w:bCs/>
      <w:sz w:val="24"/>
      <w:lang w:val="es-ES" w:eastAsia="es-ES"/>
    </w:rPr>
  </w:style>
  <w:style w:type="character" w:customStyle="1" w:styleId="Ttulo4Car">
    <w:name w:val="Título 4 Car"/>
    <w:link w:val="Ttulo4"/>
    <w:uiPriority w:val="99"/>
    <w:rsid w:val="004D0B3B"/>
    <w:rPr>
      <w:rFonts w:ascii="Coronet" w:eastAsia="Times New Roman" w:hAnsi="Coronet"/>
      <w:sz w:val="42"/>
      <w:lang w:eastAsia="es-ES"/>
    </w:rPr>
  </w:style>
  <w:style w:type="character" w:customStyle="1" w:styleId="Ttulo5Car">
    <w:name w:val="Título 5 Car"/>
    <w:link w:val="Ttulo5"/>
    <w:uiPriority w:val="99"/>
    <w:rsid w:val="004D0B3B"/>
    <w:rPr>
      <w:rFonts w:ascii="Times New Roman" w:eastAsia="Times New Roman" w:hAnsi="Times New Roman"/>
      <w:b/>
      <w:bCs/>
      <w:i/>
      <w:iCs/>
      <w:lang w:eastAsia="es-ES"/>
    </w:rPr>
  </w:style>
  <w:style w:type="character" w:customStyle="1" w:styleId="Ttulo7Car">
    <w:name w:val="Título 7 Car"/>
    <w:link w:val="Ttulo7"/>
    <w:uiPriority w:val="99"/>
    <w:rsid w:val="004D0B3B"/>
    <w:rPr>
      <w:rFonts w:ascii="Times New Roman" w:eastAsia="Times New Roman" w:hAnsi="Times New Roman"/>
      <w:sz w:val="28"/>
      <w:lang w:val="es-ES" w:eastAsia="es-ES"/>
    </w:rPr>
  </w:style>
  <w:style w:type="character" w:customStyle="1" w:styleId="Ttulo8Car">
    <w:name w:val="Título 8 Car"/>
    <w:link w:val="Ttulo8"/>
    <w:uiPriority w:val="99"/>
    <w:rsid w:val="004D0B3B"/>
    <w:rPr>
      <w:rFonts w:ascii="Arial" w:eastAsia="Times New Roman" w:hAnsi="Arial" w:cs="Arial"/>
      <w:b/>
      <w:bCs/>
      <w:color w:val="99CC00"/>
      <w:lang w:val="es-ES" w:eastAsia="es-ES"/>
    </w:rPr>
  </w:style>
  <w:style w:type="character" w:customStyle="1" w:styleId="Ttulo9Car">
    <w:name w:val="Título 9 Car"/>
    <w:link w:val="Ttulo9"/>
    <w:uiPriority w:val="99"/>
    <w:rsid w:val="004D0B3B"/>
    <w:rPr>
      <w:rFonts w:ascii="Arial" w:eastAsia="Times New Roman" w:hAnsi="Arial"/>
      <w:b/>
      <w:bCs/>
      <w:lang w:val="es-ES" w:eastAsia="es-ES"/>
    </w:rPr>
  </w:style>
  <w:style w:type="paragraph" w:styleId="Sangradetextonormal">
    <w:name w:val="Body Text Indent"/>
    <w:aliases w:val="Sangría de t. independiente"/>
    <w:basedOn w:val="Normal"/>
    <w:link w:val="SangradetextonormalCar"/>
    <w:uiPriority w:val="99"/>
    <w:rsid w:val="004D0B3B"/>
    <w:pPr>
      <w:spacing w:line="360" w:lineRule="auto"/>
      <w:ind w:left="708" w:hanging="707"/>
      <w:jc w:val="both"/>
    </w:pPr>
    <w:rPr>
      <w:sz w:val="24"/>
    </w:rPr>
  </w:style>
  <w:style w:type="character" w:customStyle="1" w:styleId="SangradetextonormalCar">
    <w:name w:val="Sangría de texto normal Car"/>
    <w:aliases w:val="Sangría de t. independiente Car"/>
    <w:link w:val="Sangradetextonormal"/>
    <w:uiPriority w:val="99"/>
    <w:rsid w:val="004D0B3B"/>
    <w:rPr>
      <w:rFonts w:ascii="Times New Roman" w:eastAsia="Times New Roman" w:hAnsi="Times New Roman"/>
      <w:sz w:val="24"/>
      <w:lang w:val="es-ES" w:eastAsia="es-ES"/>
    </w:rPr>
  </w:style>
  <w:style w:type="character" w:styleId="Nmerodepgina">
    <w:name w:val="page number"/>
    <w:rsid w:val="004D0B3B"/>
  </w:style>
  <w:style w:type="paragraph" w:styleId="Textoindependiente2">
    <w:name w:val="Body Text 2"/>
    <w:basedOn w:val="Normal"/>
    <w:link w:val="Textoindependiente2Car"/>
    <w:uiPriority w:val="99"/>
    <w:rsid w:val="004D0B3B"/>
    <w:pPr>
      <w:spacing w:after="120" w:line="480" w:lineRule="auto"/>
    </w:pPr>
  </w:style>
  <w:style w:type="character" w:customStyle="1" w:styleId="Textoindependiente2Car">
    <w:name w:val="Texto independiente 2 Car"/>
    <w:link w:val="Textoindependiente2"/>
    <w:uiPriority w:val="99"/>
    <w:rsid w:val="004D0B3B"/>
    <w:rPr>
      <w:rFonts w:ascii="Times New Roman" w:eastAsia="Times New Roman" w:hAnsi="Times New Roman"/>
      <w:lang w:val="es-ES" w:eastAsia="es-ES"/>
    </w:rPr>
  </w:style>
  <w:style w:type="character" w:customStyle="1" w:styleId="SinespaciadoCar">
    <w:name w:val="Sin espaciado Car"/>
    <w:link w:val="Sinespaciado"/>
    <w:uiPriority w:val="1"/>
    <w:locked/>
    <w:rsid w:val="004D0B3B"/>
    <w:rPr>
      <w:sz w:val="22"/>
      <w:szCs w:val="22"/>
      <w:lang w:val="en-US" w:eastAsia="en-US"/>
    </w:rPr>
  </w:style>
  <w:style w:type="paragraph" w:styleId="Listaconnmeros">
    <w:name w:val="List Number"/>
    <w:basedOn w:val="Normal"/>
    <w:semiHidden/>
    <w:unhideWhenUsed/>
    <w:rsid w:val="004D0B3B"/>
    <w:pPr>
      <w:numPr>
        <w:numId w:val="1"/>
      </w:numPr>
      <w:contextualSpacing/>
    </w:pPr>
    <w:rPr>
      <w:lang w:val="en-US" w:eastAsia="en-US"/>
    </w:rPr>
  </w:style>
  <w:style w:type="character" w:customStyle="1" w:styleId="PrrafodelistaCar">
    <w:name w:val="Párrafo de lista Car"/>
    <w:link w:val="Prrafodelista"/>
    <w:uiPriority w:val="34"/>
    <w:locked/>
    <w:rsid w:val="004D0B3B"/>
    <w:rPr>
      <w:rFonts w:ascii="Times New Roman" w:eastAsia="Times New Roman" w:hAnsi="Times New Roman"/>
      <w:sz w:val="24"/>
      <w:szCs w:val="24"/>
      <w:lang w:val="es-ES" w:eastAsia="es-ES"/>
    </w:rPr>
  </w:style>
  <w:style w:type="paragraph" w:customStyle="1" w:styleId="p4">
    <w:name w:val="p4"/>
    <w:basedOn w:val="Normal"/>
    <w:rsid w:val="004D0B3B"/>
    <w:pPr>
      <w:tabs>
        <w:tab w:val="left" w:pos="720"/>
      </w:tabs>
      <w:overflowPunct w:val="0"/>
      <w:autoSpaceDE w:val="0"/>
      <w:autoSpaceDN w:val="0"/>
      <w:adjustRightInd w:val="0"/>
      <w:spacing w:line="280" w:lineRule="auto"/>
      <w:jc w:val="both"/>
      <w:textAlignment w:val="baseline"/>
    </w:pPr>
    <w:rPr>
      <w:rFonts w:ascii="Arial" w:hAnsi="Arial"/>
      <w:sz w:val="24"/>
      <w:lang w:val="es-ES_tradnl"/>
    </w:rPr>
  </w:style>
  <w:style w:type="character" w:styleId="Nmerodelnea">
    <w:name w:val="line number"/>
    <w:uiPriority w:val="99"/>
    <w:rsid w:val="004D0B3B"/>
  </w:style>
  <w:style w:type="character" w:customStyle="1" w:styleId="A2">
    <w:name w:val="A2"/>
    <w:uiPriority w:val="99"/>
    <w:rsid w:val="004D0B3B"/>
    <w:rPr>
      <w:b/>
      <w:bCs/>
      <w:color w:val="000000"/>
    </w:rPr>
  </w:style>
  <w:style w:type="paragraph" w:customStyle="1" w:styleId="CM14">
    <w:name w:val="CM14"/>
    <w:basedOn w:val="Normal"/>
    <w:next w:val="Normal"/>
    <w:uiPriority w:val="99"/>
    <w:rsid w:val="004D0B3B"/>
    <w:pPr>
      <w:widowControl w:val="0"/>
      <w:autoSpaceDE w:val="0"/>
      <w:autoSpaceDN w:val="0"/>
      <w:adjustRightInd w:val="0"/>
      <w:spacing w:after="145"/>
    </w:pPr>
    <w:rPr>
      <w:sz w:val="24"/>
      <w:szCs w:val="24"/>
      <w:lang w:val="es-CR" w:eastAsia="es-CR"/>
    </w:rPr>
  </w:style>
  <w:style w:type="paragraph" w:customStyle="1" w:styleId="CM10">
    <w:name w:val="CM10"/>
    <w:basedOn w:val="Normal"/>
    <w:next w:val="Normal"/>
    <w:uiPriority w:val="99"/>
    <w:rsid w:val="004D0B3B"/>
    <w:pPr>
      <w:widowControl w:val="0"/>
      <w:autoSpaceDE w:val="0"/>
      <w:autoSpaceDN w:val="0"/>
      <w:adjustRightInd w:val="0"/>
      <w:spacing w:line="231" w:lineRule="atLeast"/>
    </w:pPr>
    <w:rPr>
      <w:sz w:val="24"/>
      <w:szCs w:val="24"/>
      <w:lang w:val="es-CR" w:eastAsia="es-CR"/>
    </w:rPr>
  </w:style>
  <w:style w:type="character" w:customStyle="1" w:styleId="TextonotapieCar">
    <w:name w:val="Texto nota pie Car"/>
    <w:aliases w:val="Car1 Car"/>
    <w:link w:val="Textonotapie"/>
    <w:uiPriority w:val="99"/>
    <w:rsid w:val="004D0B3B"/>
    <w:rPr>
      <w:lang w:eastAsia="es-ES"/>
    </w:rPr>
  </w:style>
  <w:style w:type="paragraph" w:styleId="Textonotapie">
    <w:name w:val="footnote text"/>
    <w:aliases w:val="Car1"/>
    <w:basedOn w:val="Normal"/>
    <w:link w:val="TextonotapieCar"/>
    <w:uiPriority w:val="99"/>
    <w:rsid w:val="004D0B3B"/>
    <w:rPr>
      <w:rFonts w:ascii="Calibri" w:eastAsia="Calibri" w:hAnsi="Calibri"/>
      <w:lang w:val="es-CR"/>
    </w:rPr>
  </w:style>
  <w:style w:type="character" w:customStyle="1" w:styleId="TextonotapieCar1">
    <w:name w:val="Texto nota pie Car1"/>
    <w:rsid w:val="004D0B3B"/>
    <w:rPr>
      <w:rFonts w:ascii="Times New Roman" w:eastAsia="Times New Roman" w:hAnsi="Times New Roman"/>
      <w:lang w:val="es-ES" w:eastAsia="es-ES"/>
    </w:rPr>
  </w:style>
  <w:style w:type="character" w:styleId="Refdenotaalpie">
    <w:name w:val="footnote reference"/>
    <w:uiPriority w:val="99"/>
    <w:rsid w:val="004D0B3B"/>
    <w:rPr>
      <w:vertAlign w:val="superscript"/>
    </w:rPr>
  </w:style>
  <w:style w:type="table" w:customStyle="1" w:styleId="Tablaconcuadrcula1">
    <w:name w:val="Tabla con cuadrícula1"/>
    <w:basedOn w:val="Tablanormal"/>
    <w:next w:val="Tablaconcuadrcula"/>
    <w:uiPriority w:val="59"/>
    <w:rsid w:val="004D0B3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99"/>
    <w:rsid w:val="004D0B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0B3B"/>
    <w:pPr>
      <w:autoSpaceDE w:val="0"/>
      <w:autoSpaceDN w:val="0"/>
      <w:adjustRightInd w:val="0"/>
    </w:pPr>
    <w:rPr>
      <w:rFonts w:ascii="Arial" w:eastAsia="Times New Roman" w:hAnsi="Arial" w:cs="Arial"/>
      <w:color w:val="000000"/>
      <w:sz w:val="24"/>
      <w:szCs w:val="24"/>
    </w:rPr>
  </w:style>
  <w:style w:type="paragraph" w:styleId="Textocomentario">
    <w:name w:val="annotation text"/>
    <w:basedOn w:val="Normal"/>
    <w:link w:val="TextocomentarioCar"/>
    <w:uiPriority w:val="99"/>
    <w:rsid w:val="004D0B3B"/>
  </w:style>
  <w:style w:type="character" w:customStyle="1" w:styleId="TextocomentarioCar">
    <w:name w:val="Texto comentario Car"/>
    <w:link w:val="Textocomentario"/>
    <w:uiPriority w:val="99"/>
    <w:rsid w:val="004D0B3B"/>
    <w:rPr>
      <w:rFonts w:ascii="Times New Roman" w:eastAsia="Times New Roman" w:hAnsi="Times New Roman"/>
      <w:lang w:val="es-ES" w:eastAsia="es-ES"/>
    </w:rPr>
  </w:style>
  <w:style w:type="paragraph" w:styleId="Textoindependiente3">
    <w:name w:val="Body Text 3"/>
    <w:basedOn w:val="Normal"/>
    <w:link w:val="Textoindependiente3Car"/>
    <w:uiPriority w:val="99"/>
    <w:rsid w:val="004D0B3B"/>
    <w:pPr>
      <w:widowControl w:val="0"/>
      <w:jc w:val="both"/>
    </w:pPr>
    <w:rPr>
      <w:sz w:val="25"/>
      <w:lang w:val="es-CR"/>
    </w:rPr>
  </w:style>
  <w:style w:type="character" w:customStyle="1" w:styleId="Textoindependiente3Car">
    <w:name w:val="Texto independiente 3 Car"/>
    <w:link w:val="Textoindependiente3"/>
    <w:uiPriority w:val="99"/>
    <w:rsid w:val="004D0B3B"/>
    <w:rPr>
      <w:rFonts w:ascii="Times New Roman" w:eastAsia="Times New Roman" w:hAnsi="Times New Roman"/>
      <w:sz w:val="25"/>
      <w:lang w:eastAsia="es-ES"/>
    </w:rPr>
  </w:style>
  <w:style w:type="paragraph" w:styleId="Sangra3detindependiente">
    <w:name w:val="Body Text Indent 3"/>
    <w:basedOn w:val="Normal"/>
    <w:link w:val="Sangra3detindependienteCar"/>
    <w:uiPriority w:val="99"/>
    <w:rsid w:val="004D0B3B"/>
    <w:pPr>
      <w:widowControl w:val="0"/>
      <w:ind w:left="709" w:hanging="709"/>
      <w:jc w:val="both"/>
    </w:pPr>
    <w:rPr>
      <w:sz w:val="19"/>
      <w:lang w:val="es-CR"/>
    </w:rPr>
  </w:style>
  <w:style w:type="character" w:customStyle="1" w:styleId="Sangra3detindependienteCar">
    <w:name w:val="Sangría 3 de t. independiente Car"/>
    <w:link w:val="Sangra3detindependiente"/>
    <w:uiPriority w:val="99"/>
    <w:rsid w:val="004D0B3B"/>
    <w:rPr>
      <w:rFonts w:ascii="Times New Roman" w:eastAsia="Times New Roman" w:hAnsi="Times New Roman"/>
      <w:sz w:val="19"/>
      <w:lang w:eastAsia="es-ES"/>
    </w:rPr>
  </w:style>
  <w:style w:type="paragraph" w:customStyle="1" w:styleId="CNV">
    <w:name w:val="CNV"/>
    <w:basedOn w:val="Normal"/>
    <w:uiPriority w:val="99"/>
    <w:rsid w:val="004D0B3B"/>
    <w:pPr>
      <w:jc w:val="both"/>
    </w:pPr>
    <w:rPr>
      <w:rFonts w:ascii="BR-01T" w:hAnsi="BR-01T"/>
      <w:sz w:val="24"/>
      <w:lang w:val="es-ES_tradnl"/>
    </w:rPr>
  </w:style>
  <w:style w:type="paragraph" w:customStyle="1" w:styleId="Epgrafe">
    <w:name w:val="Epígrafe"/>
    <w:basedOn w:val="Normal"/>
    <w:next w:val="Normal"/>
    <w:qFormat/>
    <w:rsid w:val="004D0B3B"/>
    <w:pPr>
      <w:ind w:left="284"/>
      <w:jc w:val="right"/>
    </w:pPr>
    <w:rPr>
      <w:i/>
      <w:sz w:val="24"/>
      <w:lang w:val="es-ES_tradnl"/>
    </w:rPr>
  </w:style>
  <w:style w:type="paragraph" w:styleId="Textodebloque">
    <w:name w:val="Block Text"/>
    <w:basedOn w:val="Normal"/>
    <w:uiPriority w:val="99"/>
    <w:rsid w:val="004D0B3B"/>
    <w:pPr>
      <w:widowControl w:val="0"/>
      <w:ind w:left="1134" w:right="618"/>
      <w:jc w:val="both"/>
    </w:pPr>
    <w:rPr>
      <w:i/>
      <w:sz w:val="22"/>
      <w:lang w:val="es-CR"/>
    </w:rPr>
  </w:style>
  <w:style w:type="paragraph" w:customStyle="1" w:styleId="BodyText21">
    <w:name w:val="Body Text 21"/>
    <w:basedOn w:val="Normal"/>
    <w:uiPriority w:val="99"/>
    <w:rsid w:val="004D0B3B"/>
    <w:pPr>
      <w:widowControl w:val="0"/>
      <w:jc w:val="both"/>
    </w:pPr>
    <w:rPr>
      <w:sz w:val="24"/>
      <w:lang w:val="es-CR"/>
    </w:rPr>
  </w:style>
  <w:style w:type="character" w:styleId="Refdecomentario">
    <w:name w:val="annotation reference"/>
    <w:uiPriority w:val="99"/>
    <w:rsid w:val="004D0B3B"/>
    <w:rPr>
      <w:sz w:val="16"/>
      <w:szCs w:val="16"/>
    </w:rPr>
  </w:style>
  <w:style w:type="paragraph" w:styleId="Asuntodelcomentario">
    <w:name w:val="annotation subject"/>
    <w:basedOn w:val="Textocomentario"/>
    <w:next w:val="Textocomentario"/>
    <w:link w:val="AsuntodelcomentarioCar"/>
    <w:uiPriority w:val="99"/>
    <w:rsid w:val="004D0B3B"/>
    <w:rPr>
      <w:b/>
      <w:bCs/>
      <w:lang w:val="es-CR"/>
    </w:rPr>
  </w:style>
  <w:style w:type="character" w:customStyle="1" w:styleId="AsuntodelcomentarioCar">
    <w:name w:val="Asunto del comentario Car"/>
    <w:link w:val="Asuntodelcomentario"/>
    <w:uiPriority w:val="99"/>
    <w:rsid w:val="004D0B3B"/>
    <w:rPr>
      <w:rFonts w:ascii="Times New Roman" w:eastAsia="Times New Roman" w:hAnsi="Times New Roman"/>
      <w:b/>
      <w:bCs/>
      <w:lang w:val="es-ES" w:eastAsia="es-ES"/>
    </w:rPr>
  </w:style>
  <w:style w:type="paragraph" w:styleId="Listaconvietas">
    <w:name w:val="List Bullet"/>
    <w:basedOn w:val="Normal"/>
    <w:autoRedefine/>
    <w:uiPriority w:val="99"/>
    <w:rsid w:val="004D0B3B"/>
    <w:pPr>
      <w:tabs>
        <w:tab w:val="num" w:pos="360"/>
      </w:tabs>
      <w:ind w:left="360" w:hanging="360"/>
    </w:pPr>
    <w:rPr>
      <w:sz w:val="24"/>
      <w:szCs w:val="24"/>
    </w:rPr>
  </w:style>
  <w:style w:type="paragraph" w:customStyle="1" w:styleId="xl40">
    <w:name w:val="xl40"/>
    <w:basedOn w:val="Normal"/>
    <w:uiPriority w:val="99"/>
    <w:rsid w:val="004D0B3B"/>
    <w:pPr>
      <w:spacing w:before="100" w:beforeAutospacing="1" w:after="100" w:afterAutospacing="1"/>
      <w:jc w:val="center"/>
      <w:textAlignment w:val="center"/>
    </w:pPr>
    <w:rPr>
      <w:rFonts w:eastAsia="Arial Unicode MS"/>
      <w:b/>
      <w:bCs/>
      <w:sz w:val="24"/>
      <w:szCs w:val="24"/>
    </w:rPr>
  </w:style>
  <w:style w:type="paragraph" w:customStyle="1" w:styleId="xl28">
    <w:name w:val="xl28"/>
    <w:basedOn w:val="Normal"/>
    <w:uiPriority w:val="99"/>
    <w:rsid w:val="004D0B3B"/>
    <w:pPr>
      <w:spacing w:before="100" w:beforeAutospacing="1" w:after="100" w:afterAutospacing="1"/>
      <w:textAlignment w:val="center"/>
    </w:pPr>
    <w:rPr>
      <w:rFonts w:ascii="Arial" w:eastAsia="Arial Unicode MS" w:hAnsi="Arial" w:cs="Arial"/>
      <w:sz w:val="18"/>
      <w:szCs w:val="18"/>
    </w:rPr>
  </w:style>
  <w:style w:type="paragraph" w:customStyle="1" w:styleId="xl27">
    <w:name w:val="xl27"/>
    <w:basedOn w:val="Normal"/>
    <w:uiPriority w:val="99"/>
    <w:rsid w:val="004D0B3B"/>
    <w:pPr>
      <w:spacing w:before="100" w:beforeAutospacing="1" w:after="100" w:afterAutospacing="1"/>
      <w:textAlignment w:val="center"/>
    </w:pPr>
    <w:rPr>
      <w:rFonts w:ascii="Arial" w:eastAsia="Arial Unicode MS" w:hAnsi="Arial" w:cs="Arial"/>
      <w:sz w:val="16"/>
      <w:szCs w:val="16"/>
    </w:rPr>
  </w:style>
  <w:style w:type="paragraph" w:customStyle="1" w:styleId="xl26">
    <w:name w:val="xl26"/>
    <w:basedOn w:val="Normal"/>
    <w:uiPriority w:val="99"/>
    <w:rsid w:val="004D0B3B"/>
    <w:pPr>
      <w:spacing w:before="100" w:beforeAutospacing="1" w:after="100" w:afterAutospacing="1"/>
      <w:textAlignment w:val="center"/>
    </w:pPr>
    <w:rPr>
      <w:rFonts w:ascii="Arial" w:eastAsia="Arial Unicode MS" w:hAnsi="Arial" w:cs="Arial"/>
      <w:b/>
      <w:bCs/>
      <w:sz w:val="18"/>
      <w:szCs w:val="18"/>
    </w:rPr>
  </w:style>
  <w:style w:type="paragraph" w:styleId="TDC1">
    <w:name w:val="toc 1"/>
    <w:basedOn w:val="Normal"/>
    <w:next w:val="Normal"/>
    <w:autoRedefine/>
    <w:uiPriority w:val="99"/>
    <w:rsid w:val="004D0B3B"/>
    <w:pPr>
      <w:tabs>
        <w:tab w:val="right" w:leader="dot" w:pos="8820"/>
      </w:tabs>
    </w:pPr>
    <w:rPr>
      <w:lang w:eastAsia="en-US"/>
    </w:rPr>
  </w:style>
  <w:style w:type="paragraph" w:styleId="TDC2">
    <w:name w:val="toc 2"/>
    <w:basedOn w:val="Normal"/>
    <w:next w:val="Normal"/>
    <w:autoRedefine/>
    <w:uiPriority w:val="99"/>
    <w:rsid w:val="004D0B3B"/>
    <w:pPr>
      <w:tabs>
        <w:tab w:val="left" w:pos="720"/>
        <w:tab w:val="right" w:leader="dot" w:pos="8820"/>
      </w:tabs>
      <w:ind w:left="200"/>
    </w:pPr>
    <w:rPr>
      <w:lang w:eastAsia="en-US"/>
    </w:rPr>
  </w:style>
  <w:style w:type="paragraph" w:customStyle="1" w:styleId="Tcnico">
    <w:name w:val="Técnico"/>
    <w:basedOn w:val="Normal"/>
    <w:uiPriority w:val="99"/>
    <w:rsid w:val="004D0B3B"/>
    <w:pPr>
      <w:autoSpaceDE w:val="0"/>
      <w:autoSpaceDN w:val="0"/>
      <w:ind w:left="3544" w:hanging="2126"/>
      <w:jc w:val="both"/>
    </w:pPr>
    <w:rPr>
      <w:rFonts w:ascii="Roman" w:hAnsi="Roman"/>
      <w:b/>
      <w:bCs/>
      <w:sz w:val="24"/>
      <w:szCs w:val="22"/>
      <w:lang w:val="es-ES_tradnl"/>
    </w:rPr>
  </w:style>
  <w:style w:type="paragraph" w:styleId="Ttulo">
    <w:name w:val="Title"/>
    <w:basedOn w:val="Normal"/>
    <w:link w:val="TtuloCar"/>
    <w:uiPriority w:val="99"/>
    <w:qFormat/>
    <w:rsid w:val="004D0B3B"/>
    <w:pPr>
      <w:jc w:val="center"/>
    </w:pPr>
    <w:rPr>
      <w:b/>
      <w:sz w:val="32"/>
      <w:lang w:val="es-ES_tradnl"/>
    </w:rPr>
  </w:style>
  <w:style w:type="character" w:customStyle="1" w:styleId="TtuloCar">
    <w:name w:val="Título Car"/>
    <w:link w:val="Ttulo"/>
    <w:uiPriority w:val="99"/>
    <w:rsid w:val="004D0B3B"/>
    <w:rPr>
      <w:rFonts w:ascii="Times New Roman" w:eastAsia="Times New Roman" w:hAnsi="Times New Roman"/>
      <w:b/>
      <w:sz w:val="32"/>
      <w:lang w:val="es-ES_tradnl" w:eastAsia="es-ES"/>
    </w:rPr>
  </w:style>
  <w:style w:type="paragraph" w:customStyle="1" w:styleId="p2">
    <w:name w:val="p2"/>
    <w:basedOn w:val="Normal"/>
    <w:uiPriority w:val="99"/>
    <w:rsid w:val="004D0B3B"/>
    <w:pPr>
      <w:widowControl w:val="0"/>
      <w:tabs>
        <w:tab w:val="left" w:pos="720"/>
      </w:tabs>
      <w:spacing w:line="320" w:lineRule="atLeast"/>
      <w:jc w:val="both"/>
    </w:pPr>
    <w:rPr>
      <w:sz w:val="24"/>
    </w:rPr>
  </w:style>
  <w:style w:type="character" w:styleId="Hipervnculovisitado">
    <w:name w:val="FollowedHyperlink"/>
    <w:uiPriority w:val="99"/>
    <w:rsid w:val="004D0B3B"/>
    <w:rPr>
      <w:rFonts w:cs="Times New Roman"/>
      <w:color w:val="800080"/>
      <w:u w:val="single"/>
    </w:rPr>
  </w:style>
  <w:style w:type="paragraph" w:customStyle="1" w:styleId="NORMAL2">
    <w:name w:val="NORMAL2"/>
    <w:basedOn w:val="Normal"/>
    <w:autoRedefine/>
    <w:uiPriority w:val="99"/>
    <w:rsid w:val="004D0B3B"/>
    <w:pPr>
      <w:autoSpaceDE w:val="0"/>
      <w:autoSpaceDN w:val="0"/>
      <w:jc w:val="both"/>
    </w:pPr>
    <w:rPr>
      <w:rFonts w:ascii="Arial" w:hAnsi="Arial" w:cs="Arial"/>
      <w:b/>
      <w:bCs/>
      <w:sz w:val="24"/>
      <w:szCs w:val="22"/>
      <w:lang w:val="es-ES_tradnl"/>
    </w:rPr>
  </w:style>
  <w:style w:type="paragraph" w:customStyle="1" w:styleId="CharCharCarCar">
    <w:name w:val="Char Char Car Car"/>
    <w:basedOn w:val="Normal"/>
    <w:uiPriority w:val="99"/>
    <w:rsid w:val="004D0B3B"/>
    <w:pPr>
      <w:spacing w:after="160" w:line="240" w:lineRule="exact"/>
    </w:pPr>
    <w:rPr>
      <w:rFonts w:ascii="Arial" w:eastAsia="MS Mincho" w:hAnsi="Arial"/>
      <w:lang w:eastAsia="en-US"/>
    </w:rPr>
  </w:style>
  <w:style w:type="paragraph" w:customStyle="1" w:styleId="Prrafodelista1">
    <w:name w:val="Párrafo de lista1"/>
    <w:basedOn w:val="Normal"/>
    <w:uiPriority w:val="99"/>
    <w:rsid w:val="004D0B3B"/>
    <w:pPr>
      <w:ind w:left="720"/>
      <w:contextualSpacing/>
    </w:pPr>
    <w:rPr>
      <w:sz w:val="24"/>
      <w:szCs w:val="24"/>
    </w:rPr>
  </w:style>
  <w:style w:type="paragraph" w:styleId="Textosinformato">
    <w:name w:val="Plain Text"/>
    <w:basedOn w:val="Normal"/>
    <w:link w:val="TextosinformatoCar"/>
    <w:uiPriority w:val="99"/>
    <w:unhideWhenUsed/>
    <w:rsid w:val="004D0B3B"/>
    <w:rPr>
      <w:rFonts w:ascii="Consolas" w:eastAsia="Calibri" w:hAnsi="Consolas"/>
      <w:sz w:val="21"/>
      <w:szCs w:val="21"/>
      <w:lang w:val="x-none" w:eastAsia="en-US"/>
    </w:rPr>
  </w:style>
  <w:style w:type="character" w:customStyle="1" w:styleId="TextosinformatoCar">
    <w:name w:val="Texto sin formato Car"/>
    <w:link w:val="Textosinformato"/>
    <w:uiPriority w:val="99"/>
    <w:rsid w:val="004D0B3B"/>
    <w:rPr>
      <w:rFonts w:ascii="Consolas" w:hAnsi="Consolas"/>
      <w:sz w:val="21"/>
      <w:szCs w:val="21"/>
      <w:lang w:val="x-none" w:eastAsia="en-US"/>
    </w:rPr>
  </w:style>
  <w:style w:type="paragraph" w:styleId="Revisin">
    <w:name w:val="Revision"/>
    <w:hidden/>
    <w:uiPriority w:val="99"/>
    <w:semiHidden/>
    <w:rsid w:val="004D0B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558729">
      <w:bodyDiv w:val="1"/>
      <w:marLeft w:val="0"/>
      <w:marRight w:val="0"/>
      <w:marTop w:val="0"/>
      <w:marBottom w:val="0"/>
      <w:divBdr>
        <w:top w:val="none" w:sz="0" w:space="0" w:color="auto"/>
        <w:left w:val="none" w:sz="0" w:space="0" w:color="auto"/>
        <w:bottom w:val="none" w:sz="0" w:space="0" w:color="auto"/>
        <w:right w:val="none" w:sz="0" w:space="0" w:color="auto"/>
      </w:divBdr>
    </w:div>
    <w:div w:id="583077379">
      <w:bodyDiv w:val="1"/>
      <w:marLeft w:val="0"/>
      <w:marRight w:val="0"/>
      <w:marTop w:val="0"/>
      <w:marBottom w:val="0"/>
      <w:divBdr>
        <w:top w:val="none" w:sz="0" w:space="0" w:color="auto"/>
        <w:left w:val="none" w:sz="0" w:space="0" w:color="auto"/>
        <w:bottom w:val="none" w:sz="0" w:space="0" w:color="auto"/>
        <w:right w:val="none" w:sz="0" w:space="0" w:color="auto"/>
      </w:divBdr>
    </w:div>
    <w:div w:id="809173982">
      <w:bodyDiv w:val="1"/>
      <w:marLeft w:val="0"/>
      <w:marRight w:val="0"/>
      <w:marTop w:val="0"/>
      <w:marBottom w:val="0"/>
      <w:divBdr>
        <w:top w:val="none" w:sz="0" w:space="0" w:color="auto"/>
        <w:left w:val="none" w:sz="0" w:space="0" w:color="auto"/>
        <w:bottom w:val="none" w:sz="0" w:space="0" w:color="auto"/>
        <w:right w:val="none" w:sz="0" w:space="0" w:color="auto"/>
      </w:divBdr>
    </w:div>
    <w:div w:id="827748491">
      <w:bodyDiv w:val="1"/>
      <w:marLeft w:val="0"/>
      <w:marRight w:val="0"/>
      <w:marTop w:val="0"/>
      <w:marBottom w:val="0"/>
      <w:divBdr>
        <w:top w:val="none" w:sz="0" w:space="0" w:color="auto"/>
        <w:left w:val="none" w:sz="0" w:space="0" w:color="auto"/>
        <w:bottom w:val="none" w:sz="0" w:space="0" w:color="auto"/>
        <w:right w:val="none" w:sz="0" w:space="0" w:color="auto"/>
      </w:divBdr>
    </w:div>
    <w:div w:id="20761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9fGfwdiTylmfspGeKTJYr57sHuV/5k4sbUQHbuAMpDM=</DigestValue>
    </Reference>
    <Reference Type="http://www.w3.org/2000/09/xmldsig#Object" URI="#idOfficeObject">
      <DigestMethod Algorithm="http://www.w3.org/2001/04/xmlenc#sha256"/>
      <DigestValue>TTgdv5+OixdUeVYaD5JgX1JFhu5xZ0z4C1xNL97h620=</DigestValue>
    </Reference>
    <Reference Type="http://uri.etsi.org/01903#SignedProperties" URI="#idSignedProperties">
      <Transforms>
        <Transform Algorithm="http://www.w3.org/TR/2001/REC-xml-c14n-20010315"/>
      </Transforms>
      <DigestMethod Algorithm="http://www.w3.org/2001/04/xmlenc#sha256"/>
      <DigestValue>ffxRBM8xFtzxXHnV0unRUBJvaobs3Wxd2noDuIbLi0I=</DigestValue>
    </Reference>
  </SignedInfo>
  <SignatureValue>PSh6eJMTYuQoNU325aio+xIZs7yOO7g3KN89+uBGium/kxBKk3qjNyPFdm5WMT9pVCkOQkojXO1q
fXoN6MaJDmr74qsx9nNVdnalJIOLuyDFf0te2bEM+w9KUNeR5o0Egxf9g0/5J/uqucSTKPFcckUL
Jyb2CqrDOXIqSkcRIkWJlKvp7ICURi3/ABp6PoGedB1r8VB4dzEyUNhWa054fC2869Dxv4RKk1Dt
jd2EDkRRuqAxn6txEEsyK9UlnF5nq/j6VFANkz7Czn+UzzhHWs44OAxDbMlbLlBmfBR0nHTll0sX
unObpSIrfiIXPViubjSusNOmzUk8QeiLcZdz4g==</SignatureValue>
  <KeyInfo>
    <X509Data>
      <X509Certificate>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UPiOetvGgzPjMtdcBPUbogZFq8z1HLJcdR3iwi1qwTo=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Pnj5XsRhdgF7uR+rJJZe77a5InmO8dwjV/watFSBFx4=</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Pnj5XsRhdgF7uR+rJJZe77a5InmO8dwjV/watFSBFx4=</DigestValue>
      </Reference>
      <Reference URI="/word/document.xml?ContentType=application/vnd.openxmlformats-officedocument.wordprocessingml.document.main+xml">
        <DigestMethod Algorithm="http://www.w3.org/2001/04/xmlenc#sha256"/>
        <DigestValue>QdSxmpG2mpt+4Jgvhhu+dRsPVolp2DNtIRKq9ioLEiU=</DigestValue>
      </Reference>
      <Reference URI="/word/endnotes.xml?ContentType=application/vnd.openxmlformats-officedocument.wordprocessingml.endnotes+xml">
        <DigestMethod Algorithm="http://www.w3.org/2001/04/xmlenc#sha256"/>
        <DigestValue>t5cN43lmZsvrOLZ8mOccaPblkCucHr7ghWfgmvcQ2Pg=</DigestValue>
      </Reference>
      <Reference URI="/word/fontTable.xml?ContentType=application/vnd.openxmlformats-officedocument.wordprocessingml.fontTable+xml">
        <DigestMethod Algorithm="http://www.w3.org/2001/04/xmlenc#sha256"/>
        <DigestValue>3nE0WUBf83NrKE/+nhSPLSPyiN931ISDRPS8BBQ3Tgk=</DigestValue>
      </Reference>
      <Reference URI="/word/footer1.xml?ContentType=application/vnd.openxmlformats-officedocument.wordprocessingml.footer+xml">
        <DigestMethod Algorithm="http://www.w3.org/2001/04/xmlenc#sha256"/>
        <DigestValue>GO/f5RzwdHvI76rLpVQpCuOCG1tewtqE1/DQwrr/8UM=</DigestValue>
      </Reference>
      <Reference URI="/word/footer2.xml?ContentType=application/vnd.openxmlformats-officedocument.wordprocessingml.footer+xml">
        <DigestMethod Algorithm="http://www.w3.org/2001/04/xmlenc#sha256"/>
        <DigestValue>fmNBTpoFoKrxRl9/qfwJ2nY1+DwdMLbAQVSu7+ck3sM=</DigestValue>
      </Reference>
      <Reference URI="/word/footnotes.xml?ContentType=application/vnd.openxmlformats-officedocument.wordprocessingml.footnotes+xml">
        <DigestMethod Algorithm="http://www.w3.org/2001/04/xmlenc#sha256"/>
        <DigestValue>SjopyN6bSqS2L6PhKbxSL8s+DSJQnz9usbATpCf5+pM=</DigestValue>
      </Reference>
      <Reference URI="/word/header1.xml?ContentType=application/vnd.openxmlformats-officedocument.wordprocessingml.header+xml">
        <DigestMethod Algorithm="http://www.w3.org/2001/04/xmlenc#sha256"/>
        <DigestValue>qqDYpHi+VvXasQn4JPfEGYKWEqZNXBFMpEwWFWXqG0I=</DigestValue>
      </Reference>
      <Reference URI="/word/header2.xml?ContentType=application/vnd.openxmlformats-officedocument.wordprocessingml.header+xml">
        <DigestMethod Algorithm="http://www.w3.org/2001/04/xmlenc#sha256"/>
        <DigestValue>Ywyqm7vZ/YmR5JiA+aWeZcj0148qZUFDClGbUzE2wB8=</DigestValue>
      </Reference>
      <Reference URI="/word/media/image1.jpeg?ContentType=image/jpeg">
        <DigestMethod Algorithm="http://www.w3.org/2001/04/xmlenc#sha256"/>
        <DigestValue>ZXjuZ3zB0+z18XIrPbhYf1rfidEzDtaheIy//dbr6Ps=</DigestValue>
      </Reference>
      <Reference URI="/word/media/image2.emf?ContentType=image/x-emf">
        <DigestMethod Algorithm="http://www.w3.org/2001/04/xmlenc#sha256"/>
        <DigestValue>6D9fsnsTUIQVb1moA3vonYu3AAHKfuvQ1QJ7V/PvmYM=</DigestValue>
      </Reference>
      <Reference URI="/word/numbering.xml?ContentType=application/vnd.openxmlformats-officedocument.wordprocessingml.numbering+xml">
        <DigestMethod Algorithm="http://www.w3.org/2001/04/xmlenc#sha256"/>
        <DigestValue>3vEn8TzVBaiEgtL+upuXzV5OjBFgHenWorjXJAtjP8I=</DigestValue>
      </Reference>
      <Reference URI="/word/settings.xml?ContentType=application/vnd.openxmlformats-officedocument.wordprocessingml.settings+xml">
        <DigestMethod Algorithm="http://www.w3.org/2001/04/xmlenc#sha256"/>
        <DigestValue>D7HAYknXtoiuIV9FsKR3mbEEdQHMSIUHYMMknIBcTiA=</DigestValue>
      </Reference>
      <Reference URI="/word/styles.xml?ContentType=application/vnd.openxmlformats-officedocument.wordprocessingml.styles+xml">
        <DigestMethod Algorithm="http://www.w3.org/2001/04/xmlenc#sha256"/>
        <DigestValue>MxJcyLjXthvoEESMHFYX18YbrqdywdJ4vxyU3m6TAx4=</DigestValue>
      </Reference>
      <Reference URI="/word/theme/theme1.xml?ContentType=application/vnd.openxmlformats-officedocument.theme+xml">
        <DigestMethod Algorithm="http://www.w3.org/2001/04/xmlenc#sha256"/>
        <DigestValue>pta+caFc6FvsHC7/7wgyUOb2CzzArGpjIwcYCl6aME8=</DigestValue>
      </Reference>
      <Reference URI="/word/webSettings.xml?ContentType=application/vnd.openxmlformats-officedocument.wordprocessingml.webSettings+xml">
        <DigestMethod Algorithm="http://www.w3.org/2001/04/xmlenc#sha256"/>
        <DigestValue>VL7Hb4oBA6FdZPu4bjrp7bJLgwGwx3aPT6qw3KZQOMA=</DigestValue>
      </Reference>
    </Manifest>
    <SignatureProperties>
      <SignatureProperty Id="idSignatureTime" Target="#idPackageSignature">
        <mdssi:SignatureTime xmlns:mdssi="http://schemas.openxmlformats.org/package/2006/digital-signature">
          <mdssi:Format>YYYY-MM-DDThh:mm:ssTZD</mdssi:Format>
          <mdssi:Value>2023-12-18T16:32:20Z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16.0.15601/23</OfficeVersion>
          <ApplicationVersion>16.0.15601</ApplicationVersion>
          <Monitors>3</Monitors>
          <HorizontalResolution>1680</HorizontalResolution>
          <VerticalResolution>1050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2023-12-18T16:32:20Z</xd:SigningTime>
          <xd:SigningCertificate>
            <xd:Cert>
              <xd:CertDigest>
                <DigestMethod Algorithm="http://www.w3.org/2001/04/xmlenc#sha256"/>
                <DigestValue>tvltnmUoOoYNCpYN/JVDvOnLF+x9Ha4IJ8GDRqL4zVM=</DigestValue>
              </xd:CertDigest>
              <xd:IssuerSerial>
                <X509IssuerName>CN=CA SINPE - PERSONA FISICA v2, OU=DIVISION SISTEMAS DE PAGO, O=BANCO CENTRAL DE COSTA RICA, C=CR, SERIALNUMBER=CPJ-4-000-004017</X509IssuerName>
                <X509SerialNumber>446019314957802235686068893079447094124410485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i0cBTzNscxfBLS4F+e+jtVcx/ZQDWE8DCQTe0rqS66ICBBgRTOIYDzIwMjMxMjE4MTYzMjI4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</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</xd:EncapsulatedCRLValue>
                <xd:EncapsulatedCRLValue>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</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iBS5KjCOzvsAIx+RdCGY0vl7KSs=</xd:ByKey>
                  </xd:ResponderID>
                  <xd:ProducedAt>2023-12-18T16:32:18Z</xd:ProducedAt>
                </xd:OCSPIdentifier>
                <xd:DigestAlgAndValue>
                  <DigestMethod Algorithm="http://www.w3.org/2001/04/xmlenc#sha256"/>
                  <DigestValue>wYEJF2K5vgirvN1WIroi+KHi0g8BQ9xdO5STY8z2KwU=</DigestValue>
                </xd:DigestAlgAndValue>
              </xd:OCSPRef>
            </xd:OCSPRefs>
            <xd:CRLRefs>
              <xd:CRLRef>
                <xd:DigestAlgAndValue>
                  <DigestMethod Algorithm="http://www.w3.org/2001/04/xmlenc#sha256"/>
                  <DigestValue>7VzVYBhLfVVE1bSJ7ppk3hzCDZlMrwFAcNKXW69zUbs=</DigestValue>
                </xd:DigestAlgAndValue>
                <xd:CRLIdentifier>
                  <xd:Issuer>CN=CA POLITICA PERSONA FISICA - COSTA RICA v2, OU=DCFD, O=MICITT, C=CR, SERIALNUMBER=CPJ-2-100-098311</xd:Issuer>
                  <xd:IssueTime>2023-11-23T20:59:12Z</xd:IssueTime>
                </xd:CRLIdentifier>
              </xd:CRLRef>
              <xd:CRLRef>
                <xd:DigestAlgAndValue>
                  <DigestMethod Algorithm="http://www.w3.org/2001/04/xmlenc#sha256"/>
                  <DigestValue>pJISpnMkTrLfUzWZ7F+VcR97Y1p+ql9RtY06MtPqEmQ=</DigestValue>
                </xd:DigestAlgAndValue>
                <xd:CRLIdentifier>
                  <xd:Issuer>CN=CA RAIZ NACIONAL - COSTA RICA v2, C=CR, O=MICITT, OU=DCFD, SERIALNUMBER=CPJ-2-100-098311</xd:Issuer>
                  <xd:IssueTime>2023-10-04T20:13:31Z</xd:IssueTime>
                </xd:CRLIdentifier>
              </xd:CRLRef>
            </xd:CRLRefs>
          </xd:CompleteRevocationRefs>
          <xd:RevocationValues>
            <xd:OCSPValues>
              <xd:EncapsulatedOCSPValue>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</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</xd:EncapsulatedCRLValue>
              <xd:EncapsulatedCRLValue>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</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W8Px+DlBBcD3Iyi7oZBAgQ/zzY1ygDTTaAXy4f2vomICBBgRTOQYDzIwMjMxMjE4MTYzMjI4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</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CD3E846834923458B8E53467FAC6979" ma:contentTypeVersion="7" ma:contentTypeDescription="Crear nuevo documento." ma:contentTypeScope="" ma:versionID="376d55bb0f13768425fe09114831c667">
  <xsd:schema xmlns:xsd="http://www.w3.org/2001/XMLSchema" xmlns:xs="http://www.w3.org/2001/XMLSchema" xmlns:p="http://schemas.microsoft.com/office/2006/metadata/properties" xmlns:ns2="b9fc4df0-8f56-46e7-b005-54afe0044df7" targetNamespace="http://schemas.microsoft.com/office/2006/metadata/properties" ma:root="true" ma:fieldsID="dcb97043c443abf122c5c3f2d7505c92" ns2:_="">
    <xsd:import namespace="b9fc4df0-8f56-46e7-b005-54afe0044df7"/>
    <xsd:element name="properties">
      <xsd:complexType>
        <xsd:sequence>
          <xsd:element name="documentManagement">
            <xsd:complexType>
              <xsd:all>
                <xsd:element ref="ns2:ContenidoMultilineaHTML"/>
                <xsd:element ref="ns2:InformacionAcuerdoConsulta" minOccurs="0"/>
                <xsd:element ref="ns2:NumeroConsultaPFV" minOccurs="0"/>
                <xsd:element ref="ns2:ReglamentoRelacionado" minOccurs="0"/>
                <xsd:element ref="ns2:FechaPublicacionDocumento" minOccurs="0"/>
                <xsd:element ref="ns2:TipoContenido"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ContenidoMultilineaHTML" ma:index="8" ma:displayName="ContenidoMultilineaHTML" ma:description="" ma:internalName="ContenidoMultilineaHTML">
      <xsd:simpleType>
        <xsd:restriction base="dms:Unknown"/>
      </xsd:simpleType>
    </xsd:element>
    <xsd:element name="InformacionAcuerdoConsulta" ma:index="9" nillable="true" ma:displayName="Información Acuerdo Consulta" ma:internalName="InformacionAcuerdoConsulta">
      <xsd:simpleType>
        <xsd:restriction base="dms:Note">
          <xsd:maxLength value="255"/>
        </xsd:restriction>
      </xsd:simpleType>
    </xsd:element>
    <xsd:element name="NumeroConsultaPFV" ma:index="10" nillable="true" ma:displayName="Número Consulta PFV" ma:internalName="NumeroConsultaPFV">
      <xsd:simpleType>
        <xsd:restriction base="dms:Text">
          <xsd:maxLength value="255"/>
        </xsd:restriction>
      </xsd:simpleType>
    </xsd:element>
    <xsd:element name="ReglamentoRelacionado" ma:index="11" nillable="true" ma:displayName="Reglamento Relacionado" ma:internalName="ReglamentoRelacionado">
      <xsd:simpleType>
        <xsd:restriction base="dms:Unknown"/>
      </xsd:simpleType>
    </xsd:element>
    <xsd:element name="FechaPublicacionDocumento" ma:index="12" nillable="true" ma:displayName="FechaPublicacionDocumento" ma:description="" ma:format="DateOnly" ma:internalName="FechaPublicacionDocumento">
      <xsd:simpleType>
        <xsd:restriction base="dms:DateTime"/>
      </xsd:simpleType>
    </xsd:element>
    <xsd:element name="TipoContenido" ma:index="13" nillable="true" ma:displayName="TipoContenido" ma:list="{ec55f565-d8ce-4d28-9f5f-877c6e6feccc}" ma:internalName="TipoContenido" ma:showField="Title" ma:web="b9fc4df0-8f56-46e7-b005-54afe0044df7">
      <xsd:simpleType>
        <xsd:restriction base="dms:Lookup"/>
      </xsd:simpleType>
    </xsd:element>
    <xsd:element name="SharedWithUsers" ma:index="14"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echaPublicacionDocumento xmlns="b9fc4df0-8f56-46e7-b005-54afe0044df7">2023-12-21T06:00:00+00:00</FechaPublicacionDocumento>
    <TipoContenido xmlns="b9fc4df0-8f56-46e7-b005-54afe0044df7">6</TipoContenido>
    <ContenidoMultilineaHTML xmlns="b9fc4df0-8f56-46e7-b005-54afe0044df7">&lt;p&gt;​&lt;span style="font-size&amp;#58;11pt;font-family&amp;#58;calibri, sans-serif;"&gt;Modifica la normativa en la materia, para
incorporar los segmentos de seguros, valores y pensiones&lt;/span&gt;&lt;br&gt;&lt;/p&gt;</ContenidoMultilineaHTML>
    <NumeroConsultaPFV xmlns="b9fc4df0-8f56-46e7-b005-54afe0044df7">Primera, vence: 24-01-24</NumeroConsultaPFV>
    <InformacionAcuerdoConsulta xmlns="b9fc4df0-8f56-46e7-b005-54afe0044df7">&lt;div class="ExternalClass542FF3AA863C4DE59A6A954B69DC1DBD"&gt;&lt;p&gt;​Art&amp;#160;8 y 7 de las sesiones 1841-2023 y 1842-2023, celebradas el 13 de
diciembre del 2023&lt;br&gt;&lt;/p&gt;&lt;/div&gt;</InformacionAcuerdoConsulta>
    <ReglamentoRelacionado xmlns="b9fc4df0-8f56-46e7-b005-54afe0044df7">&lt;p&gt;​&lt;span style="font-size&amp;#58;12pt;font-family&amp;#58;calibri, sans-serif;"&gt;Acuerdo CONASSIF 17-23 “Reglamento sobre la
metodología de identificación de entidades de importancia sistémica”&lt;/span&gt;​&lt;br&gt;&lt;/p&gt;</ReglamentoRelacionado>
  </documentManagement>
</p:properties>
</file>

<file path=customXml/itemProps1.xml><?xml version="1.0" encoding="utf-8"?>
<ds:datastoreItem xmlns:ds="http://schemas.openxmlformats.org/officeDocument/2006/customXml" ds:itemID="{5E484C7E-CDF6-43AB-BA88-16C71F4A7194}">
  <ds:schemaRefs>
    <ds:schemaRef ds:uri="http://schemas.microsoft.com/office/2006/metadata/longProperties"/>
  </ds:schemaRefs>
</ds:datastoreItem>
</file>

<file path=customXml/itemProps2.xml><?xml version="1.0" encoding="utf-8"?>
<ds:datastoreItem xmlns:ds="http://schemas.openxmlformats.org/officeDocument/2006/customXml" ds:itemID="{3FAAA2B9-4313-46EF-A248-77CC9FC07A10}"/>
</file>

<file path=customXml/itemProps3.xml><?xml version="1.0" encoding="utf-8"?>
<ds:datastoreItem xmlns:ds="http://schemas.openxmlformats.org/officeDocument/2006/customXml" ds:itemID="{1AB73F89-D98C-4631-B597-09A1CA262D2A}">
  <ds:schemaRefs>
    <ds:schemaRef ds:uri="http://schemas.openxmlformats.org/officeDocument/2006/bibliography"/>
  </ds:schemaRefs>
</ds:datastoreItem>
</file>

<file path=customXml/itemProps4.xml><?xml version="1.0" encoding="utf-8"?>
<ds:datastoreItem xmlns:ds="http://schemas.openxmlformats.org/officeDocument/2006/customXml" ds:itemID="{6DD3F3A3-2E38-41F5-AB13-BF37BE988A59}"/>
</file>

<file path=customXml/itemProps5.xml><?xml version="1.0" encoding="utf-8"?>
<ds:datastoreItem xmlns:ds="http://schemas.openxmlformats.org/officeDocument/2006/customXml" ds:itemID="{A12A3992-6380-45AD-8D4D-84479E646317}">
  <ds:schemaRefs>
    <ds:schemaRef ds:uri="http://purl.org/dc/dcmitype/"/>
    <ds:schemaRef ds:uri="1e59e8bf-85f4-4caa-a3d1-97a95206e6ec"/>
    <ds:schemaRef ds:uri="96c239bb-9668-4681-985a-a7d7030fe907"/>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6733</Words>
  <Characters>37035</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BCCR</Company>
  <LinksUpToDate>false</LinksUpToDate>
  <CharactersWithSpaces>43681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Reforma a normativa de identificación de entidades sistémicas</dc:title>
  <dc:subject/>
  <dc:creator>HERNANDEZ MORA DAYANA</dc:creator>
  <cp:keywords/>
  <dc:description/>
  <cp:lastModifiedBy>HERNANDEZ MORA DAYANA MARIA</cp:lastModifiedBy>
  <cp:revision>6</cp:revision>
  <cp:lastPrinted>2013-01-30T22:12:00Z</cp:lastPrinted>
  <dcterms:created xsi:type="dcterms:W3CDTF">2023-12-16T01:14:00Z</dcterms:created>
  <dcterms:modified xsi:type="dcterms:W3CDTF">2023-12-18T16:03:00Z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tado">
    <vt:lpwstr>En proceso</vt:lpwstr>
  </property>
  <property fmtid="{D5CDD505-2E9C-101B-9397-08002B2CF9AE}" pid="3" name="Institución">
    <vt:lpwstr/>
  </property>
  <property fmtid="{D5CDD505-2E9C-101B-9397-08002B2CF9AE}" pid="4" name="Sesión">
    <vt:lpwstr/>
  </property>
  <property fmtid="{D5CDD505-2E9C-101B-9397-08002B2CF9AE}" pid="5" name="Año">
    <vt:lpwstr/>
  </property>
  <property fmtid="{D5CDD505-2E9C-101B-9397-08002B2CF9AE}" pid="6" name="Mes">
    <vt:lpwstr/>
  </property>
  <property fmtid="{D5CDD505-2E9C-101B-9397-08002B2CF9AE}" pid="7" name="-">
    <vt:lpwstr/>
  </property>
  <property fmtid="{D5CDD505-2E9C-101B-9397-08002B2CF9AE}" pid="8" name="MSIP_Label_b8b4be34-365a-4a68-b9fb-75c1b6874315_Enabled">
    <vt:lpwstr>true</vt:lpwstr>
  </property>
  <property fmtid="{D5CDD505-2E9C-101B-9397-08002B2CF9AE}" pid="9" name="MSIP_Label_b8b4be34-365a-4a68-b9fb-75c1b6874315_SetDate">
    <vt:lpwstr>2023-01-03T16:15:52Z</vt:lpwstr>
  </property>
  <property fmtid="{D5CDD505-2E9C-101B-9397-08002B2CF9AE}" pid="10" name="MSIP_Label_b8b4be34-365a-4a68-b9fb-75c1b6874315_Method">
    <vt:lpwstr>Standard</vt:lpwstr>
  </property>
  <property fmtid="{D5CDD505-2E9C-101B-9397-08002B2CF9AE}" pid="11" name="MSIP_Label_b8b4be34-365a-4a68-b9fb-75c1b6874315_Name">
    <vt:lpwstr>b8b4be34-365a-4a68-b9fb-75c1b6874315</vt:lpwstr>
  </property>
  <property fmtid="{D5CDD505-2E9C-101B-9397-08002B2CF9AE}" pid="12" name="MSIP_Label_b8b4be34-365a-4a68-b9fb-75c1b6874315_SiteId">
    <vt:lpwstr>618d0a45-25a6-4618-9f80-8f70a435ee52</vt:lpwstr>
  </property>
  <property fmtid="{D5CDD505-2E9C-101B-9397-08002B2CF9AE}" pid="13" name="MSIP_Label_b8b4be34-365a-4a68-b9fb-75c1b6874315_ActionId">
    <vt:lpwstr>0261b0b6-3ff3-4ca4-a7e1-0000cbb66bde</vt:lpwstr>
  </property>
  <property fmtid="{D5CDD505-2E9C-101B-9397-08002B2CF9AE}" pid="14" name="MSIP_Label_b8b4be34-365a-4a68-b9fb-75c1b6874315_ContentBits">
    <vt:lpwstr>2</vt:lpwstr>
  </property>
  <property fmtid="{D5CDD505-2E9C-101B-9397-08002B2CF9AE}" pid="15" name="ContentTypeId">
    <vt:lpwstr>0x0101000CD3E846834923458B8E53467FAC6979</vt:lpwstr>
  </property>
</Properties>
</file>